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980A8" w14:textId="39C2D161" w:rsidR="005745BF" w:rsidRPr="004D2451" w:rsidRDefault="005745BF" w:rsidP="005745BF">
      <w:pPr>
        <w:pStyle w:val="Footer"/>
        <w:jc w:val="both"/>
        <w:rPr>
          <w:rFonts w:cs="Arial"/>
          <w:i w:val="0"/>
          <w:noProof w:val="0"/>
          <w:sz w:val="24"/>
          <w:szCs w:val="24"/>
        </w:rPr>
      </w:pPr>
      <w:bookmarkStart w:id="0" w:name="Source"/>
      <w:bookmarkEnd w:id="0"/>
      <w:r w:rsidRPr="004D2451">
        <w:rPr>
          <w:rFonts w:cs="Arial"/>
          <w:i w:val="0"/>
          <w:noProof w:val="0"/>
          <w:sz w:val="24"/>
          <w:szCs w:val="24"/>
        </w:rPr>
        <w:t>3GPP TSG RAN WG</w:t>
      </w:r>
      <w:r>
        <w:rPr>
          <w:rFonts w:cs="Arial"/>
          <w:i w:val="0"/>
          <w:noProof w:val="0"/>
          <w:sz w:val="24"/>
          <w:szCs w:val="24"/>
        </w:rPr>
        <w:t xml:space="preserve">1 Meeting #88bis          </w:t>
      </w:r>
      <w:r w:rsidRPr="004D2451">
        <w:rPr>
          <w:rFonts w:cs="Arial"/>
          <w:i w:val="0"/>
          <w:noProof w:val="0"/>
          <w:sz w:val="24"/>
          <w:szCs w:val="24"/>
        </w:rPr>
        <w:t xml:space="preserve">                            </w:t>
      </w:r>
      <w:r w:rsidRPr="004D2451">
        <w:rPr>
          <w:rFonts w:cs="Arial"/>
          <w:i w:val="0"/>
          <w:noProof w:val="0"/>
          <w:sz w:val="24"/>
          <w:szCs w:val="24"/>
        </w:rPr>
        <w:tab/>
      </w:r>
      <w:r>
        <w:rPr>
          <w:rFonts w:cs="Arial"/>
          <w:i w:val="0"/>
          <w:noProof w:val="0"/>
          <w:sz w:val="24"/>
          <w:szCs w:val="24"/>
        </w:rPr>
        <w:t xml:space="preserve">                     </w:t>
      </w:r>
      <w:r w:rsidRPr="004D2451">
        <w:rPr>
          <w:rFonts w:cs="Arial"/>
          <w:i w:val="0"/>
          <w:noProof w:val="0"/>
          <w:sz w:val="24"/>
          <w:szCs w:val="24"/>
        </w:rPr>
        <w:t>R1-</w:t>
      </w:r>
      <w:r w:rsidRPr="006340AB">
        <w:rPr>
          <w:rFonts w:cs="Arial"/>
          <w:i w:val="0"/>
          <w:noProof w:val="0"/>
          <w:sz w:val="24"/>
          <w:szCs w:val="24"/>
        </w:rPr>
        <w:t>1</w:t>
      </w:r>
      <w:r>
        <w:rPr>
          <w:rFonts w:cs="Arial"/>
          <w:i w:val="0"/>
          <w:noProof w:val="0"/>
          <w:sz w:val="24"/>
          <w:szCs w:val="24"/>
        </w:rPr>
        <w:t>705638</w:t>
      </w:r>
    </w:p>
    <w:p w14:paraId="69E9672C" w14:textId="77777777" w:rsidR="005745BF" w:rsidRDefault="005745BF" w:rsidP="005745BF">
      <w:pPr>
        <w:pStyle w:val="Footer"/>
        <w:jc w:val="both"/>
        <w:rPr>
          <w:rFonts w:cs="Arial"/>
          <w:i w:val="0"/>
          <w:noProof w:val="0"/>
          <w:sz w:val="24"/>
          <w:szCs w:val="24"/>
        </w:rPr>
      </w:pPr>
      <w:r w:rsidRPr="004D2451">
        <w:rPr>
          <w:rFonts w:cs="Arial"/>
          <w:i w:val="0"/>
          <w:noProof w:val="0"/>
          <w:sz w:val="24"/>
          <w:szCs w:val="24"/>
        </w:rPr>
        <w:t>Spokane, USA 3rd - 7th April 2017</w:t>
      </w:r>
    </w:p>
    <w:p w14:paraId="3A280164" w14:textId="77777777" w:rsidR="005745BF" w:rsidRPr="000A64D8" w:rsidRDefault="005745BF" w:rsidP="005745BF">
      <w:pPr>
        <w:pStyle w:val="Footer"/>
        <w:jc w:val="both"/>
        <w:rPr>
          <w:noProof w:val="0"/>
        </w:rPr>
      </w:pPr>
    </w:p>
    <w:p w14:paraId="2BCA1D37" w14:textId="2C9BD65E" w:rsidR="005745BF" w:rsidRPr="00E8613B" w:rsidRDefault="005745BF" w:rsidP="005745BF">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t>8.1.</w:t>
      </w:r>
      <w:r>
        <w:rPr>
          <w:rFonts w:ascii="Arial" w:hAnsi="Arial"/>
          <w:sz w:val="24"/>
          <w:szCs w:val="24"/>
        </w:rPr>
        <w:t>4.3</w:t>
      </w:r>
    </w:p>
    <w:p w14:paraId="03CF9030" w14:textId="77777777" w:rsidR="005745BF" w:rsidRPr="00E8613B" w:rsidRDefault="005745BF" w:rsidP="005745BF">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Pr="00E8613B">
        <w:rPr>
          <w:rFonts w:ascii="Arial" w:hAnsi="Arial"/>
          <w:sz w:val="24"/>
          <w:szCs w:val="24"/>
        </w:rPr>
        <w:t>Qualcomm Incorporated</w:t>
      </w:r>
    </w:p>
    <w:p w14:paraId="4CDB46AC" w14:textId="0A25DA6B" w:rsidR="005745BF" w:rsidRPr="00E8613B" w:rsidRDefault="005745BF" w:rsidP="005745BF">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Pr>
          <w:rFonts w:ascii="Arial" w:hAnsi="Arial"/>
          <w:sz w:val="24"/>
          <w:szCs w:val="24"/>
        </w:rPr>
        <w:t>PBCH channel coding</w:t>
      </w:r>
    </w:p>
    <w:p w14:paraId="13330808" w14:textId="77777777" w:rsidR="005745BF" w:rsidRPr="00E8613B" w:rsidRDefault="005745BF" w:rsidP="005745BF">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1" w:name="DocumentFor"/>
      <w:bookmarkEnd w:id="1"/>
      <w:r w:rsidRPr="00E8613B">
        <w:rPr>
          <w:rFonts w:ascii="Arial" w:hAnsi="Arial"/>
          <w:sz w:val="24"/>
          <w:szCs w:val="24"/>
        </w:rPr>
        <w:t>Discussion/Decision</w:t>
      </w:r>
    </w:p>
    <w:p w14:paraId="0E33E39F" w14:textId="77777777" w:rsidR="00491EEE" w:rsidRPr="00CC27F5" w:rsidRDefault="00FD6A3D" w:rsidP="00956418">
      <w:pPr>
        <w:pStyle w:val="Heading1"/>
        <w:ind w:left="432" w:hanging="432"/>
      </w:pPr>
      <w:r w:rsidRPr="00CC27F5">
        <w:t>1</w:t>
      </w:r>
      <w:r w:rsidRPr="00CC27F5">
        <w:tab/>
      </w:r>
      <w:r w:rsidR="00B209B5" w:rsidRPr="00CC27F5">
        <w:t>Introduction</w:t>
      </w:r>
    </w:p>
    <w:p w14:paraId="4167B57C" w14:textId="225EB5E0" w:rsidR="004E492E" w:rsidRDefault="004E492E" w:rsidP="004E492E">
      <w:pPr>
        <w:rPr>
          <w:sz w:val="22"/>
        </w:rPr>
      </w:pPr>
      <w:r w:rsidRPr="004E492E">
        <w:rPr>
          <w:sz w:val="22"/>
        </w:rPr>
        <w:t>In RAN1#86b</w:t>
      </w:r>
      <w:r w:rsidR="00EF5972">
        <w:rPr>
          <w:sz w:val="22"/>
        </w:rPr>
        <w:t xml:space="preserve"> </w:t>
      </w:r>
      <w:r w:rsidR="00EF5972">
        <w:rPr>
          <w:sz w:val="22"/>
        </w:rPr>
        <w:fldChar w:fldCharType="begin"/>
      </w:r>
      <w:r w:rsidR="00EF5972">
        <w:rPr>
          <w:sz w:val="22"/>
        </w:rPr>
        <w:instrText xml:space="preserve"> REF _Ref471720178 \r \h </w:instrText>
      </w:r>
      <w:r w:rsidR="00EF5972">
        <w:rPr>
          <w:sz w:val="22"/>
        </w:rPr>
      </w:r>
      <w:r w:rsidR="00EF5972">
        <w:rPr>
          <w:sz w:val="22"/>
        </w:rPr>
        <w:fldChar w:fldCharType="separate"/>
      </w:r>
      <w:r w:rsidR="00EF5972">
        <w:rPr>
          <w:sz w:val="22"/>
        </w:rPr>
        <w:t>[1]</w:t>
      </w:r>
      <w:r w:rsidR="00EF5972">
        <w:rPr>
          <w:sz w:val="22"/>
        </w:rPr>
        <w:fldChar w:fldCharType="end"/>
      </w:r>
      <w:r w:rsidRPr="004E492E">
        <w:rPr>
          <w:sz w:val="22"/>
        </w:rPr>
        <w:t>, NR multibeam sync design for further discussed and open issues listed.  One of the issues identified was that of determining symbol index, or SS block index, by the UE.  BS can transmit sync signals in a ‘burst’ comprising multiple SS blocks.</w:t>
      </w:r>
    </w:p>
    <w:p w14:paraId="1307EB27" w14:textId="77777777" w:rsidR="004E492E" w:rsidRPr="00D81B8B" w:rsidRDefault="004E492E" w:rsidP="004E492E">
      <w:pPr>
        <w:rPr>
          <w:i/>
          <w:sz w:val="22"/>
        </w:rPr>
      </w:pPr>
      <w:r w:rsidRPr="00D81B8B">
        <w:rPr>
          <w:b/>
          <w:bCs/>
          <w:i/>
          <w:sz w:val="22"/>
        </w:rPr>
        <w:t>Working assumption:</w:t>
      </w:r>
    </w:p>
    <w:p w14:paraId="31D4F3DC" w14:textId="77777777" w:rsidR="004E492E" w:rsidRPr="00D81B8B" w:rsidRDefault="004E492E" w:rsidP="004E492E">
      <w:pPr>
        <w:numPr>
          <w:ilvl w:val="0"/>
          <w:numId w:val="29"/>
        </w:numPr>
        <w:overflowPunct/>
        <w:autoSpaceDE/>
        <w:autoSpaceDN/>
        <w:adjustRightInd/>
        <w:spacing w:after="0"/>
        <w:textAlignment w:val="auto"/>
        <w:rPr>
          <w:i/>
          <w:sz w:val="22"/>
        </w:rPr>
      </w:pPr>
      <w:r w:rsidRPr="00D81B8B">
        <w:rPr>
          <w:i/>
          <w:sz w:val="22"/>
        </w:rPr>
        <w:t>PSS, SSS and/or PBCH can be transmitted within a ‘SS block’</w:t>
      </w:r>
    </w:p>
    <w:p w14:paraId="519C1DB5"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FFS: details how to compose PSS, SSS and/or PBCH</w:t>
      </w:r>
    </w:p>
    <w:p w14:paraId="6D2C79F9"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Multiplexing other signals are not precluded within a ‘SS block’</w:t>
      </w:r>
    </w:p>
    <w:p w14:paraId="5E5041C3" w14:textId="77777777" w:rsidR="004E492E" w:rsidRPr="00D81B8B" w:rsidRDefault="004E492E" w:rsidP="004E492E">
      <w:pPr>
        <w:numPr>
          <w:ilvl w:val="0"/>
          <w:numId w:val="29"/>
        </w:numPr>
        <w:overflowPunct/>
        <w:autoSpaceDE/>
        <w:autoSpaceDN/>
        <w:adjustRightInd/>
        <w:spacing w:after="0"/>
        <w:textAlignment w:val="auto"/>
        <w:rPr>
          <w:i/>
          <w:sz w:val="22"/>
        </w:rPr>
      </w:pPr>
      <w:r w:rsidRPr="00D81B8B">
        <w:rPr>
          <w:i/>
          <w:sz w:val="22"/>
        </w:rPr>
        <w:t>One or multiple ‘SS block(s)’ compose an ‘SS burst’</w:t>
      </w:r>
    </w:p>
    <w:p w14:paraId="47F7BCDE"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FFS: Number of ‘SS block(s)’ (defined as duration of ‘SS burst’)</w:t>
      </w:r>
    </w:p>
    <w:p w14:paraId="06156120"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FFS: whether or not ‘SS block(s)’ are consecutive</w:t>
      </w:r>
    </w:p>
    <w:p w14:paraId="7549832E" w14:textId="48AB5E4F" w:rsidR="004E492E" w:rsidRDefault="004E492E" w:rsidP="004E492E">
      <w:pPr>
        <w:numPr>
          <w:ilvl w:val="1"/>
          <w:numId w:val="29"/>
        </w:numPr>
        <w:overflowPunct/>
        <w:autoSpaceDE/>
        <w:autoSpaceDN/>
        <w:adjustRightInd/>
        <w:spacing w:after="0"/>
        <w:textAlignment w:val="auto"/>
        <w:rPr>
          <w:i/>
          <w:sz w:val="22"/>
        </w:rPr>
      </w:pPr>
      <w:r w:rsidRPr="00D81B8B">
        <w:rPr>
          <w:i/>
          <w:sz w:val="22"/>
        </w:rPr>
        <w:t xml:space="preserve">FFS: whether or not ‘SS block(s)’ </w:t>
      </w:r>
      <w:r w:rsidRPr="00D81B8B">
        <w:rPr>
          <w:rFonts w:hint="eastAsia"/>
          <w:i/>
          <w:sz w:val="22"/>
        </w:rPr>
        <w:t xml:space="preserve">within a </w:t>
      </w:r>
      <w:r w:rsidRPr="00D81B8B">
        <w:rPr>
          <w:i/>
          <w:sz w:val="22"/>
        </w:rPr>
        <w:t>‘SS burst’</w:t>
      </w:r>
      <w:r w:rsidRPr="00D81B8B">
        <w:rPr>
          <w:rFonts w:hint="eastAsia"/>
          <w:i/>
          <w:sz w:val="22"/>
        </w:rPr>
        <w:t xml:space="preserve"> are the same</w:t>
      </w:r>
    </w:p>
    <w:p w14:paraId="714DD20A" w14:textId="77777777" w:rsidR="00D81B8B" w:rsidRPr="00D81B8B" w:rsidRDefault="00D81B8B" w:rsidP="00D81B8B">
      <w:pPr>
        <w:overflowPunct/>
        <w:autoSpaceDE/>
        <w:autoSpaceDN/>
        <w:adjustRightInd/>
        <w:spacing w:after="0"/>
        <w:ind w:left="1440"/>
        <w:textAlignment w:val="auto"/>
        <w:rPr>
          <w:i/>
          <w:sz w:val="22"/>
        </w:rPr>
      </w:pPr>
    </w:p>
    <w:p w14:paraId="203A7971" w14:textId="77777777" w:rsidR="004E492E" w:rsidRPr="004E492E" w:rsidRDefault="004E492E" w:rsidP="004E492E">
      <w:pPr>
        <w:rPr>
          <w:sz w:val="22"/>
        </w:rPr>
      </w:pPr>
      <w:r w:rsidRPr="004E492E">
        <w:rPr>
          <w:sz w:val="22"/>
        </w:rPr>
        <w:t>Therefore, a UE detecting PSS/SSS in any of those SS blocks would further need to determine the SS block index and, in turn, the slot boundary.</w:t>
      </w:r>
    </w:p>
    <w:p w14:paraId="0E33E3A0" w14:textId="3FEE37A5" w:rsidR="00FA7EDF" w:rsidRPr="00B342A3" w:rsidRDefault="004E492E" w:rsidP="00B342A3">
      <w:pPr>
        <w:rPr>
          <w:sz w:val="22"/>
        </w:rPr>
      </w:pPr>
      <w:r w:rsidRPr="004E492E">
        <w:rPr>
          <w:sz w:val="22"/>
        </w:rPr>
        <w:t xml:space="preserve">In this contribution, we </w:t>
      </w:r>
      <w:r w:rsidR="00B342A3">
        <w:rPr>
          <w:sz w:val="22"/>
        </w:rPr>
        <w:t xml:space="preserve">discuss ways to convey SS block index in SS block. </w:t>
      </w:r>
    </w:p>
    <w:p w14:paraId="6C23589C" w14:textId="1867B3AE" w:rsidR="00246B94" w:rsidRDefault="00F540AA" w:rsidP="00C13ADF">
      <w:pPr>
        <w:pStyle w:val="Heading1"/>
        <w:ind w:left="432" w:hanging="432"/>
      </w:pPr>
      <w:r w:rsidRPr="00CC27F5">
        <w:t>2</w:t>
      </w:r>
      <w:r w:rsidRPr="00CC27F5">
        <w:tab/>
      </w:r>
      <w:r w:rsidR="00D44424">
        <w:t xml:space="preserve"> </w:t>
      </w:r>
      <w:r w:rsidR="00C13ADF">
        <w:t>Design requirement</w:t>
      </w:r>
    </w:p>
    <w:p w14:paraId="18AA94AD" w14:textId="4F98EF6A" w:rsidR="00C13ADF" w:rsidRPr="00453E8C" w:rsidRDefault="00C13ADF" w:rsidP="00C13ADF">
      <w:pPr>
        <w:rPr>
          <w:sz w:val="22"/>
          <w:szCs w:val="22"/>
        </w:rPr>
      </w:pPr>
      <w:r w:rsidRPr="00C13ADF">
        <w:rPr>
          <w:sz w:val="22"/>
        </w:rPr>
        <w:t>Design should permit the UE to combine NR-PBCH</w:t>
      </w:r>
      <w:r w:rsidR="00453E8C">
        <w:rPr>
          <w:sz w:val="22"/>
        </w:rPr>
        <w:t>/SS-block-index</w:t>
      </w:r>
      <w:r w:rsidRPr="00C13ADF">
        <w:rPr>
          <w:sz w:val="22"/>
        </w:rPr>
        <w:t xml:space="preserve"> from different SS blocks:  Indeed, multiple beams (even within burst) can excite a cluster and deliver useful signal to the UE. Moreover, multibeam sync design should permit the BS the flexibility in beam shape and </w:t>
      </w:r>
      <w:proofErr w:type="spellStart"/>
      <w:r w:rsidRPr="00C13ADF">
        <w:rPr>
          <w:sz w:val="22"/>
        </w:rPr>
        <w:t>beamsweep</w:t>
      </w:r>
      <w:proofErr w:type="spellEnd"/>
      <w:r w:rsidRPr="00C13ADF">
        <w:rPr>
          <w:sz w:val="22"/>
        </w:rPr>
        <w:t xml:space="preserve"> pattern, and the BS may indeed use wider </w:t>
      </w:r>
      <w:r w:rsidRPr="00453E8C">
        <w:rPr>
          <w:sz w:val="22"/>
          <w:szCs w:val="22"/>
        </w:rPr>
        <w:t>or even pseudo-</w:t>
      </w:r>
      <w:proofErr w:type="spellStart"/>
      <w:r w:rsidRPr="00453E8C">
        <w:rPr>
          <w:sz w:val="22"/>
          <w:szCs w:val="22"/>
        </w:rPr>
        <w:t>omni</w:t>
      </w:r>
      <w:proofErr w:type="spellEnd"/>
      <w:r w:rsidRPr="00453E8C">
        <w:rPr>
          <w:sz w:val="22"/>
          <w:szCs w:val="22"/>
        </w:rPr>
        <w:t xml:space="preserve"> beams through a burst.  </w:t>
      </w:r>
    </w:p>
    <w:p w14:paraId="1DC90568" w14:textId="7EE85BA0" w:rsidR="00453E8C" w:rsidRPr="00453E8C" w:rsidRDefault="00453E8C" w:rsidP="00453E8C">
      <w:pPr>
        <w:rPr>
          <w:sz w:val="22"/>
          <w:szCs w:val="22"/>
        </w:rPr>
      </w:pPr>
      <w:r w:rsidRPr="00453E8C">
        <w:rPr>
          <w:sz w:val="22"/>
          <w:szCs w:val="22"/>
        </w:rPr>
        <w:t xml:space="preserve">Therefore SS block index should be carried in such a way that the UE can still </w:t>
      </w:r>
      <w:r w:rsidR="00C02749">
        <w:rPr>
          <w:sz w:val="22"/>
          <w:szCs w:val="22"/>
        </w:rPr>
        <w:t>combine the transmission</w:t>
      </w:r>
      <w:r w:rsidR="005D4C0F">
        <w:rPr>
          <w:sz w:val="22"/>
          <w:szCs w:val="22"/>
        </w:rPr>
        <w:t>s</w:t>
      </w:r>
      <w:r w:rsidR="00C02749">
        <w:rPr>
          <w:sz w:val="22"/>
          <w:szCs w:val="22"/>
        </w:rPr>
        <w:t xml:space="preserve"> </w:t>
      </w:r>
    </w:p>
    <w:p w14:paraId="145CFACE" w14:textId="41E67FAD" w:rsidR="00C13ADF" w:rsidRPr="00453E8C" w:rsidRDefault="00453E8C" w:rsidP="00453E8C">
      <w:pPr>
        <w:rPr>
          <w:sz w:val="22"/>
        </w:rPr>
      </w:pPr>
      <w:r w:rsidRPr="00453E8C">
        <w:rPr>
          <w:b/>
          <w:sz w:val="22"/>
          <w:u w:val="single"/>
        </w:rPr>
        <w:t>Proposal 1</w:t>
      </w:r>
      <w:r w:rsidRPr="00453E8C">
        <w:rPr>
          <w:sz w:val="22"/>
        </w:rPr>
        <w:t>: Design should permit the UE to combine, in feasible manner, the NR-PBCH</w:t>
      </w:r>
      <w:r w:rsidR="00D85B89">
        <w:rPr>
          <w:sz w:val="22"/>
        </w:rPr>
        <w:t xml:space="preserve"> and SS block index</w:t>
      </w:r>
      <w:r w:rsidRPr="00453E8C">
        <w:rPr>
          <w:sz w:val="22"/>
        </w:rPr>
        <w:t xml:space="preserve"> transmitted in different SS blocks.</w:t>
      </w:r>
    </w:p>
    <w:p w14:paraId="72E2347D" w14:textId="290EEC24" w:rsidR="00233E6D" w:rsidRPr="00E44060" w:rsidRDefault="00D85B89" w:rsidP="00E44060">
      <w:pPr>
        <w:rPr>
          <w:sz w:val="22"/>
        </w:rPr>
      </w:pPr>
      <w:r>
        <w:rPr>
          <w:sz w:val="22"/>
        </w:rPr>
        <w:t>At first glance, it seems that transmitting SS block index in each block and requiring UE to</w:t>
      </w:r>
      <w:r w:rsidR="0074442B">
        <w:rPr>
          <w:sz w:val="22"/>
        </w:rPr>
        <w:t xml:space="preserve"> combine </w:t>
      </w:r>
      <w:r w:rsidR="00233E6D">
        <w:rPr>
          <w:sz w:val="22"/>
        </w:rPr>
        <w:t>transmissions across different SS blocks</w:t>
      </w:r>
      <w:r>
        <w:rPr>
          <w:sz w:val="22"/>
        </w:rPr>
        <w:t xml:space="preserve"> are </w:t>
      </w:r>
      <w:r w:rsidR="00F13261">
        <w:rPr>
          <w:sz w:val="22"/>
        </w:rPr>
        <w:t xml:space="preserve">contradicting </w:t>
      </w:r>
      <w:r w:rsidR="00270366">
        <w:rPr>
          <w:sz w:val="22"/>
        </w:rPr>
        <w:t>goals. The question is:</w:t>
      </w:r>
      <w:r>
        <w:rPr>
          <w:sz w:val="22"/>
        </w:rPr>
        <w:t xml:space="preserve"> </w:t>
      </w:r>
      <w:r w:rsidR="00270366">
        <w:rPr>
          <w:sz w:val="22"/>
        </w:rPr>
        <w:t>s</w:t>
      </w:r>
      <w:r>
        <w:rPr>
          <w:sz w:val="22"/>
        </w:rPr>
        <w:t xml:space="preserve">ince the SS block </w:t>
      </w:r>
      <w:r w:rsidR="004864D7">
        <w:rPr>
          <w:sz w:val="22"/>
        </w:rPr>
        <w:t>indices</w:t>
      </w:r>
      <w:r w:rsidR="00233E6D">
        <w:rPr>
          <w:sz w:val="22"/>
        </w:rPr>
        <w:t xml:space="preserve"> for</w:t>
      </w:r>
      <w:r>
        <w:rPr>
          <w:sz w:val="22"/>
        </w:rPr>
        <w:t xml:space="preserve"> different blocks are</w:t>
      </w:r>
      <w:r w:rsidR="00270366">
        <w:rPr>
          <w:sz w:val="22"/>
        </w:rPr>
        <w:t xml:space="preserve"> naturally</w:t>
      </w:r>
      <w:r>
        <w:rPr>
          <w:sz w:val="22"/>
        </w:rPr>
        <w:t xml:space="preserve"> different, how </w:t>
      </w:r>
      <w:r w:rsidR="00270366">
        <w:rPr>
          <w:sz w:val="22"/>
        </w:rPr>
        <w:t>can we</w:t>
      </w:r>
      <w:r>
        <w:rPr>
          <w:sz w:val="22"/>
        </w:rPr>
        <w:t xml:space="preserve"> combine the SS block index transmission</w:t>
      </w:r>
      <w:r w:rsidR="00233E6D">
        <w:rPr>
          <w:sz w:val="22"/>
        </w:rPr>
        <w:t>s</w:t>
      </w:r>
      <w:r>
        <w:rPr>
          <w:sz w:val="22"/>
        </w:rPr>
        <w:t xml:space="preserve"> across </w:t>
      </w:r>
      <w:r w:rsidR="00270366">
        <w:rPr>
          <w:sz w:val="22"/>
        </w:rPr>
        <w:t>different blocks</w:t>
      </w:r>
      <w:r w:rsidR="00233E6D">
        <w:rPr>
          <w:sz w:val="22"/>
        </w:rPr>
        <w:t>?</w:t>
      </w:r>
    </w:p>
    <w:p w14:paraId="0E33E402" w14:textId="157FFCAD" w:rsidR="00F95A7C" w:rsidRDefault="00233E6D" w:rsidP="00956418">
      <w:pPr>
        <w:pStyle w:val="Heading1"/>
        <w:ind w:left="432" w:hanging="432"/>
      </w:pPr>
      <w:r>
        <w:t>3</w:t>
      </w:r>
      <w:r w:rsidR="00F95A7C" w:rsidRPr="00E05A22">
        <w:tab/>
      </w:r>
      <w:r>
        <w:t>SS block index encoding</w:t>
      </w:r>
    </w:p>
    <w:p w14:paraId="04B33622" w14:textId="3C85DAC6" w:rsidR="00E86A32" w:rsidRPr="00E86A32" w:rsidRDefault="00C147E5" w:rsidP="004864D7">
      <w:pPr>
        <w:jc w:val="both"/>
        <w:rPr>
          <w:sz w:val="22"/>
        </w:rPr>
      </w:pPr>
      <w:r>
        <w:rPr>
          <w:sz w:val="22"/>
        </w:rPr>
        <w:t xml:space="preserve">The key to enable SS block index transmission and receiver side SS block index transmission combining is through the use of </w:t>
      </w:r>
      <w:r w:rsidR="00C724E4">
        <w:rPr>
          <w:sz w:val="22"/>
        </w:rPr>
        <w:t>channel codes that have cyclic property. More specifically,</w:t>
      </w:r>
      <w:r>
        <w:rPr>
          <w:sz w:val="22"/>
        </w:rPr>
        <w:t xml:space="preserve"> </w:t>
      </w:r>
      <w:r w:rsidR="00C724E4">
        <w:rPr>
          <w:sz w:val="22"/>
        </w:rPr>
        <w:t>i</w:t>
      </w:r>
      <w:r>
        <w:rPr>
          <w:sz w:val="22"/>
        </w:rPr>
        <w:t xml:space="preserve">f the channel encoding for SS block index leads to cyclically shifted version of encoded </w:t>
      </w:r>
      <w:r w:rsidR="00C724E4">
        <w:rPr>
          <w:sz w:val="22"/>
        </w:rPr>
        <w:t>bits across different SS blocks, and that the amount of cyclic shift is prop</w:t>
      </w:r>
      <w:r w:rsidR="00800EDD">
        <w:rPr>
          <w:sz w:val="22"/>
        </w:rPr>
        <w:t>ortional to the SS block index,</w:t>
      </w:r>
      <w:r w:rsidR="00E86A32">
        <w:rPr>
          <w:sz w:val="22"/>
        </w:rPr>
        <w:t xml:space="preserve"> </w:t>
      </w:r>
      <w:r w:rsidR="0074442B">
        <w:rPr>
          <w:sz w:val="22"/>
        </w:rPr>
        <w:t>then</w:t>
      </w:r>
      <w:r w:rsidR="00E86A32">
        <w:rPr>
          <w:sz w:val="22"/>
        </w:rPr>
        <w:t xml:space="preserve"> we can</w:t>
      </w:r>
      <w:r w:rsidR="00800EDD">
        <w:rPr>
          <w:sz w:val="22"/>
        </w:rPr>
        <w:t xml:space="preserve"> enable the combining of SS block index transmission at the receiver </w:t>
      </w:r>
      <w:r w:rsidR="00121833">
        <w:rPr>
          <w:sz w:val="22"/>
        </w:rPr>
        <w:t xml:space="preserve">by utilizing the knowledge of the amount of </w:t>
      </w:r>
      <w:r w:rsidR="00121833" w:rsidRPr="004864D7">
        <w:rPr>
          <w:b/>
          <w:sz w:val="22"/>
        </w:rPr>
        <w:t>relative cyclic shift</w:t>
      </w:r>
      <w:r w:rsidR="00121833">
        <w:rPr>
          <w:sz w:val="22"/>
        </w:rPr>
        <w:t xml:space="preserve"> across </w:t>
      </w:r>
      <w:r w:rsidR="00121833">
        <w:rPr>
          <w:sz w:val="22"/>
        </w:rPr>
        <w:lastRenderedPageBreak/>
        <w:t>transmissions.</w:t>
      </w:r>
      <w:r w:rsidR="00920200">
        <w:rPr>
          <w:sz w:val="22"/>
        </w:rPr>
        <w:t xml:space="preserve"> </w:t>
      </w:r>
      <w:r w:rsidR="004864D7">
        <w:rPr>
          <w:sz w:val="22"/>
        </w:rPr>
        <w:t>Regarding this cyclic base encoding, two schemes can be considered: (</w:t>
      </w:r>
      <w:proofErr w:type="spellStart"/>
      <w:r w:rsidR="004864D7">
        <w:rPr>
          <w:sz w:val="22"/>
        </w:rPr>
        <w:t>i</w:t>
      </w:r>
      <w:proofErr w:type="spellEnd"/>
      <w:r w:rsidR="004864D7">
        <w:rPr>
          <w:sz w:val="22"/>
        </w:rPr>
        <w:t>) SS block index encoded separately from NR-PBCH (ii) SS block index encoded together with NR-PBCH</w:t>
      </w:r>
    </w:p>
    <w:p w14:paraId="19656B7E" w14:textId="46AD1268" w:rsidR="006B5801" w:rsidRDefault="006B5801" w:rsidP="006B5801">
      <w:pPr>
        <w:pStyle w:val="Heading2"/>
      </w:pPr>
      <w:r>
        <w:t>3.1 SS block index encoded</w:t>
      </w:r>
      <w:r w:rsidR="005871C0">
        <w:t xml:space="preserve"> separately</w:t>
      </w:r>
      <w:r>
        <w:t xml:space="preserve"> from NR-PBCH</w:t>
      </w:r>
    </w:p>
    <w:p w14:paraId="749BFAF6" w14:textId="467D642C" w:rsidR="006B5801" w:rsidRDefault="004864D7" w:rsidP="006B5801">
      <w:pPr>
        <w:jc w:val="both"/>
        <w:rPr>
          <w:sz w:val="22"/>
        </w:rPr>
      </w:pPr>
      <w:r>
        <w:rPr>
          <w:sz w:val="22"/>
        </w:rPr>
        <w:t>In the case when SS block index is separately encoded from NR-PBCH, the cyclic based encoding degenerates to the use of a known sequence to transmit the SS block index, where the known sequence is cyclic shifted in the amount that is proportional to the SS block index.</w:t>
      </w:r>
      <w:r w:rsidR="005F422A">
        <w:rPr>
          <w:sz w:val="22"/>
        </w:rPr>
        <w:t xml:space="preserve"> A</w:t>
      </w:r>
      <w:r w:rsidR="00544D2E">
        <w:rPr>
          <w:sz w:val="22"/>
        </w:rPr>
        <w:t xml:space="preserve">t the receiver, the UE can combine the </w:t>
      </w:r>
      <w:r w:rsidR="00667D16">
        <w:rPr>
          <w:sz w:val="22"/>
        </w:rPr>
        <w:t>receptions across</w:t>
      </w:r>
      <w:r w:rsidR="00544D2E">
        <w:rPr>
          <w:sz w:val="22"/>
        </w:rPr>
        <w:t xml:space="preserve"> different blocks by compensating for the</w:t>
      </w:r>
      <w:r w:rsidR="00667D16">
        <w:rPr>
          <w:sz w:val="22"/>
        </w:rPr>
        <w:t>ir</w:t>
      </w:r>
      <w:r w:rsidR="00544D2E">
        <w:rPr>
          <w:sz w:val="22"/>
        </w:rPr>
        <w:t xml:space="preserve"> relative amount of cycl</w:t>
      </w:r>
      <w:r w:rsidR="00667D16">
        <w:rPr>
          <w:sz w:val="22"/>
        </w:rPr>
        <w:t xml:space="preserve">ic shift, and then </w:t>
      </w:r>
      <w:r w:rsidR="001B455F">
        <w:rPr>
          <w:sz w:val="22"/>
        </w:rPr>
        <w:t>decode the</w:t>
      </w:r>
      <w:r w:rsidR="00667D16">
        <w:rPr>
          <w:sz w:val="22"/>
        </w:rPr>
        <w:t xml:space="preserve"> SS block index by </w:t>
      </w:r>
      <w:r w:rsidR="001B455F">
        <w:rPr>
          <w:sz w:val="22"/>
        </w:rPr>
        <w:t>detecting the among of cyclic shift in the sequence.</w:t>
      </w:r>
    </w:p>
    <w:p w14:paraId="3F571706" w14:textId="59D17244" w:rsidR="00B07C67" w:rsidRDefault="00B07C67" w:rsidP="006B5801">
      <w:pPr>
        <w:jc w:val="both"/>
        <w:rPr>
          <w:sz w:val="22"/>
        </w:rPr>
      </w:pPr>
      <w:r>
        <w:rPr>
          <w:sz w:val="22"/>
        </w:rPr>
        <w:t>Also, since NR-PBCH is encoded separately from SS block index</w:t>
      </w:r>
      <w:r w:rsidR="001B455F">
        <w:rPr>
          <w:sz w:val="22"/>
        </w:rPr>
        <w:t xml:space="preserve"> and remain the same across different SS blocks</w:t>
      </w:r>
      <w:r>
        <w:rPr>
          <w:sz w:val="22"/>
        </w:rPr>
        <w:t>, there is no issue with the soft-combining of NR-PBCH.</w:t>
      </w:r>
    </w:p>
    <w:p w14:paraId="1EF79E1D" w14:textId="369B3EB4" w:rsidR="006B5801" w:rsidRDefault="006B5801" w:rsidP="006B5801">
      <w:pPr>
        <w:pStyle w:val="Heading2"/>
      </w:pPr>
      <w:r>
        <w:t>3.</w:t>
      </w:r>
      <w:r w:rsidR="00E86A32">
        <w:t>2</w:t>
      </w:r>
      <w:r>
        <w:t xml:space="preserve"> SS block index encoded together with NR-PBCH</w:t>
      </w:r>
    </w:p>
    <w:p w14:paraId="0FAEC2A7" w14:textId="77777777" w:rsidR="006F4598" w:rsidRDefault="00D819C9" w:rsidP="006B5801">
      <w:pPr>
        <w:rPr>
          <w:sz w:val="22"/>
        </w:rPr>
      </w:pPr>
      <w:r>
        <w:rPr>
          <w:sz w:val="22"/>
        </w:rPr>
        <w:t xml:space="preserve">In this scheme, the encoding is done in a two-step manner. </w:t>
      </w:r>
    </w:p>
    <w:p w14:paraId="26EFA8CD" w14:textId="2DDCF8FD" w:rsidR="006F4598" w:rsidRDefault="00D819C9" w:rsidP="006B5801">
      <w:pPr>
        <w:rPr>
          <w:sz w:val="22"/>
        </w:rPr>
      </w:pPr>
      <w:r>
        <w:rPr>
          <w:sz w:val="22"/>
        </w:rPr>
        <w:t xml:space="preserve">In step 1, NR-PBCH is encoded by </w:t>
      </w:r>
      <w:r w:rsidR="00371D9F">
        <w:rPr>
          <w:sz w:val="22"/>
        </w:rPr>
        <w:t>certain</w:t>
      </w:r>
      <w:r>
        <w:rPr>
          <w:sz w:val="22"/>
        </w:rPr>
        <w:t xml:space="preserve"> channel code to get a stream of coded bits. Let </w:t>
      </w:r>
      <m:oMath>
        <m:r>
          <w:rPr>
            <w:rFonts w:ascii="Cambria Math" w:hAnsi="Cambria Math"/>
            <w:sz w:val="22"/>
          </w:rPr>
          <m:t>b</m:t>
        </m:r>
      </m:oMath>
      <w:r>
        <w:rPr>
          <w:sz w:val="22"/>
        </w:rPr>
        <w:t xml:space="preserve"> denote a </w:t>
      </w:r>
      <m:oMath>
        <m:r>
          <w:rPr>
            <w:rFonts w:ascii="Cambria Math" w:hAnsi="Cambria Math"/>
            <w:sz w:val="22"/>
          </w:rPr>
          <m:t>K</m:t>
        </m:r>
      </m:oMath>
      <w:r>
        <w:rPr>
          <w:sz w:val="22"/>
        </w:rPr>
        <w:t xml:space="preserve"> bit vector representing the NR-PBCH message</w:t>
      </w:r>
      <w:r w:rsidR="00D81B8B">
        <w:rPr>
          <w:sz w:val="22"/>
        </w:rPr>
        <w:t xml:space="preserve">, </w:t>
      </w:r>
      <m:oMath>
        <m:r>
          <w:rPr>
            <w:rFonts w:ascii="Cambria Math" w:hAnsi="Cambria Math"/>
            <w:sz w:val="22"/>
          </w:rPr>
          <m:t>G</m:t>
        </m:r>
      </m:oMath>
      <w:r w:rsidR="00D81B8B">
        <w:rPr>
          <w:sz w:val="22"/>
        </w:rPr>
        <w:t xml:space="preserve"> denote the encoder mapping</w:t>
      </w:r>
      <w:r>
        <w:rPr>
          <w:sz w:val="22"/>
        </w:rPr>
        <w:t xml:space="preserve">, and </w:t>
      </w:r>
      <m:oMath>
        <m:r>
          <w:rPr>
            <w:rFonts w:ascii="Cambria Math" w:hAnsi="Cambria Math"/>
            <w:sz w:val="22"/>
          </w:rPr>
          <m:t>c=Gb</m:t>
        </m:r>
      </m:oMath>
      <w:r>
        <w:rPr>
          <w:sz w:val="22"/>
        </w:rPr>
        <w:t xml:space="preserve"> denote the encoded bit vector with </w:t>
      </w:r>
      <w:r w:rsidR="006F4598">
        <w:rPr>
          <w:sz w:val="22"/>
        </w:rPr>
        <w:t>length</w:t>
      </w:r>
      <m:oMath>
        <m:r>
          <w:rPr>
            <w:rFonts w:ascii="Cambria Math" w:hAnsi="Cambria Math"/>
            <w:sz w:val="22"/>
          </w:rPr>
          <m:t xml:space="preserve"> N</m:t>
        </m:r>
      </m:oMath>
      <w:r w:rsidR="00D81B8B">
        <w:rPr>
          <w:sz w:val="22"/>
        </w:rPr>
        <w:t>.</w:t>
      </w:r>
    </w:p>
    <w:p w14:paraId="3FED2D67" w14:textId="5B3D4303" w:rsidR="006B5801" w:rsidRPr="004864D7" w:rsidRDefault="006F4598" w:rsidP="006B5801">
      <w:r>
        <w:rPr>
          <w:sz w:val="22"/>
        </w:rPr>
        <w:t xml:space="preserve">In step 2, SS block index is used to determine the amount of cyclic rotation of the encoded bit </w:t>
      </w:r>
      <w:r w:rsidR="00D81B8B">
        <w:rPr>
          <w:sz w:val="22"/>
        </w:rPr>
        <w:t>vector</w:t>
      </w:r>
      <m:oMath>
        <m:sSup>
          <m:sSupPr>
            <m:ctrlPr>
              <w:rPr>
                <w:rFonts w:ascii="Cambria Math" w:hAnsi="Cambria Math"/>
                <w:i/>
                <w:sz w:val="22"/>
              </w:rPr>
            </m:ctrlPr>
          </m:sSupPr>
          <m:e>
            <m:r>
              <w:rPr>
                <w:rFonts w:ascii="Cambria Math" w:hAnsi="Cambria Math"/>
                <w:sz w:val="22"/>
              </w:rPr>
              <m:t xml:space="preserve"> c</m:t>
            </m:r>
          </m:e>
          <m:sup>
            <m:r>
              <w:rPr>
                <w:rFonts w:ascii="Cambria Math" w:hAnsi="Cambria Math"/>
                <w:sz w:val="22"/>
              </w:rPr>
              <m:t>(N)</m:t>
            </m:r>
          </m:sup>
        </m:sSup>
      </m:oMath>
      <w:r>
        <w:rPr>
          <w:sz w:val="22"/>
        </w:rPr>
        <w:t xml:space="preserve">. </w:t>
      </w:r>
      <w:r w:rsidR="00371D9F">
        <w:rPr>
          <w:sz w:val="22"/>
        </w:rPr>
        <w:t>More precisely, l</w:t>
      </w:r>
      <w:r>
        <w:rPr>
          <w:sz w:val="22"/>
        </w:rPr>
        <w:t xml:space="preserve">et </w:t>
      </w:r>
      <m:oMath>
        <m:r>
          <w:rPr>
            <w:rFonts w:ascii="Cambria Math" w:hAnsi="Cambria Math"/>
            <w:sz w:val="22"/>
          </w:rPr>
          <m:t>r</m:t>
        </m:r>
      </m:oMath>
      <w:r>
        <w:rPr>
          <w:sz w:val="22"/>
        </w:rPr>
        <w:t xml:space="preserve"> denote the SS block index, and </w:t>
      </w:r>
      <m:oMath>
        <m:sSup>
          <m:sSupPr>
            <m:ctrlPr>
              <w:rPr>
                <w:rFonts w:ascii="Cambria Math" w:hAnsi="Cambria Math"/>
                <w:i/>
                <w:sz w:val="22"/>
              </w:rPr>
            </m:ctrlPr>
          </m:sSupPr>
          <m:e>
            <m:r>
              <w:rPr>
                <w:rFonts w:ascii="Cambria Math" w:hAnsi="Cambria Math"/>
                <w:sz w:val="22"/>
              </w:rPr>
              <m:t>S</m:t>
            </m:r>
          </m:e>
          <m:sup>
            <m:r>
              <w:rPr>
                <w:rFonts w:ascii="Cambria Math" w:hAnsi="Cambria Math"/>
                <w:sz w:val="22"/>
              </w:rPr>
              <m:t>n</m:t>
            </m:r>
          </m:sup>
        </m:sSup>
      </m:oMath>
      <w:r>
        <w:rPr>
          <w:sz w:val="22"/>
        </w:rPr>
        <w:t xml:space="preserve"> denote the N by N cyclic r</w:t>
      </w:r>
      <w:r w:rsidR="00371D9F">
        <w:rPr>
          <w:sz w:val="22"/>
        </w:rPr>
        <w:t>otation matrix with n rotations,</w:t>
      </w:r>
      <w:r>
        <w:rPr>
          <w:sz w:val="22"/>
        </w:rPr>
        <w:t xml:space="preserve"> </w:t>
      </w:r>
      <w:r w:rsidR="00371D9F">
        <w:rPr>
          <w:sz w:val="22"/>
        </w:rPr>
        <w:t>t</w:t>
      </w:r>
      <w:r>
        <w:rPr>
          <w:sz w:val="22"/>
        </w:rPr>
        <w:t xml:space="preserve">hen the output of steps 2 </w:t>
      </w:r>
      <w:r w:rsidR="00371D9F">
        <w:rPr>
          <w:sz w:val="22"/>
        </w:rPr>
        <w:t>can be expressed as</w:t>
      </w:r>
      <w:r>
        <w:rPr>
          <w:sz w:val="22"/>
        </w:rPr>
        <w:t xml:space="preserve"> </w:t>
      </w:r>
      <m:oMath>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r>
          <w:rPr>
            <w:rFonts w:ascii="Cambria Math" w:hAnsi="Cambria Math"/>
            <w:sz w:val="22"/>
          </w:rPr>
          <m:t>Gb</m:t>
        </m:r>
      </m:oMath>
      <w:r>
        <w:rPr>
          <w:sz w:val="22"/>
        </w:rPr>
        <w:t>, where a is a constant that reflect</w:t>
      </w:r>
      <w:r w:rsidR="00A36F50">
        <w:rPr>
          <w:sz w:val="22"/>
        </w:rPr>
        <w:t>s</w:t>
      </w:r>
      <w:r>
        <w:rPr>
          <w:sz w:val="22"/>
        </w:rPr>
        <w:t xml:space="preserve"> the proportional relationship between the amount of </w:t>
      </w:r>
      <w:r w:rsidR="00371D9F">
        <w:rPr>
          <w:sz w:val="22"/>
        </w:rPr>
        <w:t xml:space="preserve">cyclic shift and the SS block index. </w:t>
      </w:r>
    </w:p>
    <w:p w14:paraId="68DD73EB" w14:textId="09077941" w:rsidR="006B5801" w:rsidRDefault="00D81B8B" w:rsidP="002D3C51">
      <w:pPr>
        <w:jc w:val="both"/>
        <w:rPr>
          <w:sz w:val="22"/>
        </w:rPr>
      </w:pPr>
      <w:r>
        <w:rPr>
          <w:sz w:val="22"/>
        </w:rPr>
        <w:t xml:space="preserve">On the receiver side, the combining of transmission across different SS blocks can be done utilizing the knowledge of relative amount of cyclic shift among different SS blocks. For example, we can combine the LLRs received from block </w:t>
      </w:r>
      <m:oMath>
        <m:r>
          <w:rPr>
            <w:rFonts w:ascii="Cambria Math" w:hAnsi="Cambria Math"/>
            <w:sz w:val="22"/>
          </w:rPr>
          <m:t>r</m:t>
        </m:r>
      </m:oMath>
      <w:r>
        <w:rPr>
          <w:sz w:val="22"/>
        </w:rPr>
        <w:t xml:space="preserve"> with the LLRs received from block </w:t>
      </w:r>
      <m:oMath>
        <m:r>
          <w:rPr>
            <w:rFonts w:ascii="Cambria Math" w:hAnsi="Cambria Math"/>
            <w:sz w:val="22"/>
          </w:rPr>
          <m:t>r+1</m:t>
        </m:r>
      </m:oMath>
      <w:r>
        <w:rPr>
          <w:sz w:val="22"/>
        </w:rPr>
        <w:t xml:space="preserve"> without knowing the exact value of </w:t>
      </w:r>
      <m:oMath>
        <m:r>
          <w:rPr>
            <w:rFonts w:ascii="Cambria Math" w:hAnsi="Cambria Math"/>
            <w:sz w:val="22"/>
          </w:rPr>
          <m:t>r</m:t>
        </m:r>
      </m:oMath>
      <w:r>
        <w:rPr>
          <w:sz w:val="22"/>
        </w:rPr>
        <w:t xml:space="preserve"> by utilizing the fact that</w:t>
      </w:r>
    </w:p>
    <w:p w14:paraId="415049F6" w14:textId="4E87114D" w:rsidR="00D81B8B" w:rsidRPr="00D81B8B" w:rsidRDefault="00537CE0" w:rsidP="002D3C51">
      <w:pPr>
        <w:jc w:val="both"/>
        <w:rPr>
          <w:sz w:val="22"/>
        </w:rPr>
      </w:pPr>
      <m:oMathPara>
        <m:oMath>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r>
            <w:rPr>
              <w:rFonts w:ascii="Cambria Math" w:hAnsi="Cambria Math"/>
              <w:sz w:val="22"/>
            </w:rPr>
            <m:t>Gb=</m:t>
          </m:r>
          <m:sSup>
            <m:sSupPr>
              <m:ctrlPr>
                <w:rPr>
                  <w:rFonts w:ascii="Cambria Math" w:hAnsi="Cambria Math"/>
                  <w:i/>
                  <w:sz w:val="22"/>
                </w:rPr>
              </m:ctrlPr>
            </m:sSupPr>
            <m:e>
              <m:r>
                <w:rPr>
                  <w:rFonts w:ascii="Cambria Math" w:hAnsi="Cambria Math"/>
                  <w:sz w:val="22"/>
                </w:rPr>
                <m:t>S</m:t>
              </m:r>
            </m:e>
            <m:sup>
              <m:r>
                <w:rPr>
                  <w:rFonts w:ascii="Cambria Math" w:hAnsi="Cambria Math"/>
                  <w:sz w:val="22"/>
                </w:rPr>
                <m:t>-a</m:t>
              </m:r>
            </m:sup>
          </m:sSup>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S</m:t>
                  </m:r>
                </m:e>
                <m:sup>
                  <m:r>
                    <w:rPr>
                      <w:rFonts w:ascii="Cambria Math" w:hAnsi="Cambria Math"/>
                      <w:sz w:val="22"/>
                    </w:rPr>
                    <m:t>(r+1)×a</m:t>
                  </m:r>
                </m:sup>
              </m:sSup>
              <m:r>
                <w:rPr>
                  <w:rFonts w:ascii="Cambria Math" w:hAnsi="Cambria Math"/>
                  <w:sz w:val="22"/>
                </w:rPr>
                <m:t>Gb</m:t>
              </m:r>
            </m:e>
          </m:d>
        </m:oMath>
      </m:oMathPara>
    </w:p>
    <w:p w14:paraId="28B0A711" w14:textId="46E7DFB0" w:rsidR="00D81B8B" w:rsidRDefault="00D442D3" w:rsidP="00D81B8B">
      <w:pPr>
        <w:jc w:val="both"/>
        <w:rPr>
          <w:sz w:val="22"/>
        </w:rPr>
      </w:pPr>
      <w:r>
        <w:rPr>
          <w:sz w:val="22"/>
        </w:rPr>
        <w:t>A</w:t>
      </w:r>
      <w:r w:rsidR="00D81B8B">
        <w:rPr>
          <w:sz w:val="22"/>
        </w:rPr>
        <w:t xml:space="preserve">fter the combining, in order to decode the NR-PBCH message, in general we still need to know the exact amount of cyclic shift </w:t>
      </w:r>
      <m:oMath>
        <m:r>
          <w:rPr>
            <w:rFonts w:ascii="Cambria Math" w:hAnsi="Cambria Math"/>
            <w:sz w:val="22"/>
          </w:rPr>
          <m:t>r</m:t>
        </m:r>
      </m:oMath>
      <w:r w:rsidR="00D81B8B">
        <w:rPr>
          <w:sz w:val="22"/>
        </w:rPr>
        <w:t xml:space="preserve"> to before the decoding. More precisely, the following operation needs to be performed </w:t>
      </w:r>
    </w:p>
    <w:p w14:paraId="1C060E9F" w14:textId="2B7A7AF3" w:rsidR="00D81B8B" w:rsidRPr="00D81B8B" w:rsidRDefault="00537CE0" w:rsidP="00D442D3">
      <w:pPr>
        <w:jc w:val="center"/>
        <w:rPr>
          <w:sz w:val="22"/>
        </w:rPr>
      </w:pPr>
      <m:oMath>
        <m:sSup>
          <m:sSupPr>
            <m:ctrlPr>
              <w:rPr>
                <w:rFonts w:ascii="Cambria Math" w:hAnsi="Cambria Math"/>
                <w:i/>
                <w:sz w:val="22"/>
              </w:rPr>
            </m:ctrlPr>
          </m:sSupPr>
          <m:e>
            <m:r>
              <w:rPr>
                <w:rFonts w:ascii="Cambria Math" w:hAnsi="Cambria Math"/>
                <w:sz w:val="22"/>
              </w:rPr>
              <m:t>G</m:t>
            </m:r>
          </m:e>
          <m:sup>
            <m:r>
              <w:rPr>
                <w:rFonts w:ascii="Cambria Math" w:hAnsi="Cambria Math"/>
                <w:sz w:val="22"/>
              </w:rPr>
              <m:t>-1</m:t>
            </m:r>
          </m:sup>
        </m:sSup>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d>
              <m:dPr>
                <m:ctrlPr>
                  <w:rPr>
                    <w:rFonts w:ascii="Cambria Math" w:hAnsi="Cambria Math"/>
                    <w:i/>
                    <w:sz w:val="22"/>
                  </w:rPr>
                </m:ctrlPr>
              </m:dPr>
              <m:e>
                <m:sSup>
                  <m:sSupPr>
                    <m:ctrlPr>
                      <w:rPr>
                        <w:rFonts w:ascii="Cambria Math" w:hAnsi="Cambria Math"/>
                        <w:i/>
                        <w:color w:val="7030A0"/>
                        <w:sz w:val="22"/>
                      </w:rPr>
                    </m:ctrlPr>
                  </m:sSupPr>
                  <m:e>
                    <m:r>
                      <w:rPr>
                        <w:rFonts w:ascii="Cambria Math" w:hAnsi="Cambria Math"/>
                        <w:color w:val="7030A0"/>
                        <w:sz w:val="22"/>
                      </w:rPr>
                      <m:t>S</m:t>
                    </m:r>
                  </m:e>
                  <m:sup>
                    <m:r>
                      <w:rPr>
                        <w:rFonts w:ascii="Cambria Math" w:hAnsi="Cambria Math"/>
                        <w:color w:val="7030A0"/>
                        <w:sz w:val="22"/>
                      </w:rPr>
                      <m:t>r×a</m:t>
                    </m:r>
                  </m:sup>
                </m:sSup>
                <m:r>
                  <w:rPr>
                    <w:rFonts w:ascii="Cambria Math" w:hAnsi="Cambria Math"/>
                    <w:color w:val="7030A0"/>
                    <w:sz w:val="22"/>
                  </w:rPr>
                  <m:t>Gb</m:t>
                </m:r>
              </m:e>
            </m:d>
          </m:e>
        </m:d>
      </m:oMath>
      <w:r w:rsidR="00D442D3">
        <w:rPr>
          <w:sz w:val="22"/>
        </w:rPr>
        <w:t>.</w:t>
      </w:r>
    </w:p>
    <w:p w14:paraId="1EDDA952" w14:textId="357C5323" w:rsidR="00AF670C" w:rsidRDefault="00D442D3" w:rsidP="002D3C51">
      <w:pPr>
        <w:jc w:val="both"/>
        <w:rPr>
          <w:sz w:val="22"/>
        </w:rPr>
      </w:pPr>
      <w:r>
        <w:rPr>
          <w:sz w:val="22"/>
        </w:rPr>
        <w:t xml:space="preserve">However, if the channel code has the </w:t>
      </w:r>
      <w:r w:rsidR="00EF27E2">
        <w:rPr>
          <w:sz w:val="22"/>
        </w:rPr>
        <w:t xml:space="preserve">following </w:t>
      </w:r>
      <w:r w:rsidR="00AF670C">
        <w:rPr>
          <w:sz w:val="22"/>
        </w:rPr>
        <w:t xml:space="preserve">cyclic shift property, then the decoding can happen without the knowledge of the amount of cyclic </w:t>
      </w:r>
      <w:proofErr w:type="gramStart"/>
      <w:r w:rsidR="00AF670C">
        <w:rPr>
          <w:sz w:val="22"/>
        </w:rPr>
        <w:t xml:space="preserve">shift </w:t>
      </w:r>
      <w:proofErr w:type="gramEnd"/>
      <m:oMath>
        <m:r>
          <w:rPr>
            <w:rFonts w:ascii="Cambria Math" w:hAnsi="Cambria Math"/>
            <w:sz w:val="22"/>
          </w:rPr>
          <m:t>r</m:t>
        </m:r>
      </m:oMath>
      <w:r w:rsidR="005F730B">
        <w:rPr>
          <w:sz w:val="22"/>
        </w:rPr>
        <w:t xml:space="preserve">. </w:t>
      </w:r>
    </w:p>
    <w:p w14:paraId="3FCFBB14" w14:textId="00C065E3" w:rsidR="005F730B" w:rsidRDefault="005F730B" w:rsidP="005F730B">
      <w:pPr>
        <w:spacing w:after="0"/>
        <w:jc w:val="both"/>
        <w:rPr>
          <w:sz w:val="22"/>
        </w:rPr>
      </w:pPr>
      <w:r>
        <w:rPr>
          <w:sz w:val="22"/>
        </w:rPr>
        <w:tab/>
      </w:r>
      <w:r w:rsidRPr="005F730B">
        <w:rPr>
          <w:b/>
          <w:sz w:val="22"/>
          <w:u w:val="single"/>
        </w:rPr>
        <w:t>Cyclic shift property</w:t>
      </w:r>
      <w:r>
        <w:rPr>
          <w:sz w:val="22"/>
        </w:rPr>
        <w:t>:</w:t>
      </w:r>
    </w:p>
    <w:p w14:paraId="3A78E044" w14:textId="05030FAD" w:rsidR="00CD3696" w:rsidRDefault="00EF27E2" w:rsidP="00EF27E2">
      <w:pPr>
        <w:ind w:left="288"/>
        <w:jc w:val="both"/>
        <w:rPr>
          <w:sz w:val="22"/>
        </w:rPr>
      </w:pPr>
      <w:r>
        <w:rPr>
          <w:sz w:val="22"/>
        </w:rPr>
        <w:t xml:space="preserve">Encoded bits of the cyclic shifted info bits </w:t>
      </w:r>
      <w:r w:rsidR="00AF670C">
        <w:rPr>
          <w:sz w:val="22"/>
        </w:rPr>
        <w:t>equals to</w:t>
      </w:r>
      <w:r>
        <w:rPr>
          <w:sz w:val="22"/>
        </w:rPr>
        <w:t xml:space="preserve"> the cyclic shifted encoded bits of the non-cyclic shifted info bits. </w:t>
      </w:r>
      <w:r w:rsidR="00AF670C">
        <w:rPr>
          <w:sz w:val="22"/>
        </w:rPr>
        <w:t>In other words</w:t>
      </w:r>
      <w:proofErr w:type="gramStart"/>
      <w:r w:rsidR="00AF670C">
        <w:rPr>
          <w:sz w:val="22"/>
        </w:rPr>
        <w:t xml:space="preserve">, </w:t>
      </w:r>
      <w:proofErr w:type="gramEnd"/>
      <m:oMath>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r>
          <w:rPr>
            <w:rFonts w:ascii="Cambria Math" w:hAnsi="Cambria Math"/>
            <w:sz w:val="22"/>
          </w:rPr>
          <m:t>Gb=G</m:t>
        </m:r>
        <m:sSup>
          <m:sSupPr>
            <m:ctrlPr>
              <w:rPr>
                <w:rFonts w:ascii="Cambria Math" w:hAnsi="Cambria Math"/>
                <w:i/>
                <w:sz w:val="22"/>
              </w:rPr>
            </m:ctrlPr>
          </m:sSupPr>
          <m:e>
            <m:r>
              <w:rPr>
                <w:rFonts w:ascii="Cambria Math" w:hAnsi="Cambria Math"/>
                <w:sz w:val="22"/>
              </w:rPr>
              <m:t>S</m:t>
            </m:r>
          </m:e>
          <m:sup>
            <m:r>
              <w:rPr>
                <w:rFonts w:ascii="Cambria Math" w:hAnsi="Cambria Math"/>
                <w:sz w:val="22"/>
              </w:rPr>
              <m:t>r×b</m:t>
            </m:r>
          </m:sup>
        </m:sSup>
        <m:r>
          <w:rPr>
            <w:rFonts w:ascii="Cambria Math" w:hAnsi="Cambria Math"/>
            <w:sz w:val="22"/>
          </w:rPr>
          <m:t>b</m:t>
        </m:r>
      </m:oMath>
      <w:r w:rsidR="005F730B">
        <w:rPr>
          <w:sz w:val="22"/>
        </w:rPr>
        <w:t xml:space="preserve">, where </w:t>
      </w:r>
      <m:oMath>
        <m:r>
          <w:rPr>
            <w:rFonts w:ascii="Cambria Math" w:hAnsi="Cambria Math"/>
            <w:sz w:val="22"/>
          </w:rPr>
          <m:t>a</m:t>
        </m:r>
      </m:oMath>
      <w:r w:rsidR="005F730B">
        <w:rPr>
          <w:sz w:val="22"/>
        </w:rPr>
        <w:t xml:space="preserve"> and </w:t>
      </w:r>
      <m:oMath>
        <m:r>
          <w:rPr>
            <w:rFonts w:ascii="Cambria Math" w:hAnsi="Cambria Math"/>
            <w:sz w:val="22"/>
          </w:rPr>
          <m:t>b</m:t>
        </m:r>
      </m:oMath>
      <w:r w:rsidR="005F730B">
        <w:rPr>
          <w:sz w:val="22"/>
        </w:rPr>
        <w:t xml:space="preserve"> are some constant.</w:t>
      </w:r>
    </w:p>
    <w:p w14:paraId="452308E5" w14:textId="2E2FD79E" w:rsidR="005F730B" w:rsidRDefault="005F730B" w:rsidP="005F730B">
      <w:pPr>
        <w:rPr>
          <w:sz w:val="22"/>
        </w:rPr>
      </w:pPr>
      <w:r>
        <w:rPr>
          <w:sz w:val="22"/>
        </w:rPr>
        <w:t xml:space="preserve">If NR-PBCH is encoded using a channel code that has this cyclic shift property, we </w:t>
      </w:r>
      <w:r w:rsidR="00B8758D">
        <w:rPr>
          <w:sz w:val="22"/>
        </w:rPr>
        <w:t>can</w:t>
      </w:r>
      <w:r>
        <w:rPr>
          <w:sz w:val="22"/>
        </w:rPr>
        <w:t xml:space="preserve"> perform decoding directly on the cyclic shifted version of the encoded bits and obtain a cyclic shifted version of the info bits. </w:t>
      </w:r>
      <w:r w:rsidR="00B8758D">
        <w:rPr>
          <w:sz w:val="22"/>
        </w:rPr>
        <w:t>Then we can use the embedded CRC to find the amount</w:t>
      </w:r>
      <w:r w:rsidR="00CD2703">
        <w:rPr>
          <w:sz w:val="22"/>
        </w:rPr>
        <w:t xml:space="preserve"> of cyclic shift, which</w:t>
      </w:r>
      <w:r w:rsidR="00B8758D">
        <w:rPr>
          <w:sz w:val="22"/>
        </w:rPr>
        <w:t xml:space="preserve"> implies the SS block index. </w:t>
      </w:r>
      <w:r>
        <w:rPr>
          <w:sz w:val="22"/>
        </w:rPr>
        <w:t xml:space="preserve">More precisely, </w:t>
      </w:r>
      <w:r w:rsidR="00B8758D">
        <w:rPr>
          <w:sz w:val="22"/>
        </w:rPr>
        <w:t>the decoding process can expressed as</w:t>
      </w:r>
    </w:p>
    <w:p w14:paraId="629EBD07" w14:textId="1262D7CD" w:rsidR="005F730B" w:rsidRPr="00F85D03" w:rsidRDefault="00537CE0" w:rsidP="005F730B">
      <w:pPr>
        <w:jc w:val="center"/>
        <w:rPr>
          <w:sz w:val="22"/>
        </w:rPr>
      </w:pPr>
      <m:oMath>
        <m:sSup>
          <m:sSupPr>
            <m:ctrlPr>
              <w:rPr>
                <w:rFonts w:ascii="Cambria Math" w:hAnsi="Cambria Math"/>
                <w:i/>
                <w:sz w:val="22"/>
              </w:rPr>
            </m:ctrlPr>
          </m:sSupPr>
          <m:e>
            <m:r>
              <w:rPr>
                <w:rFonts w:ascii="Cambria Math" w:hAnsi="Cambria Math"/>
                <w:sz w:val="22"/>
              </w:rPr>
              <m:t>G</m:t>
            </m:r>
          </m:e>
          <m:sup>
            <m:r>
              <w:rPr>
                <w:rFonts w:ascii="Cambria Math" w:hAnsi="Cambria Math"/>
                <w:sz w:val="22"/>
              </w:rPr>
              <m:t>-1</m:t>
            </m:r>
          </m:sup>
        </m:sSup>
        <m:d>
          <m:dPr>
            <m:ctrlPr>
              <w:rPr>
                <w:rFonts w:ascii="Cambria Math" w:hAnsi="Cambria Math"/>
                <w:i/>
                <w:sz w:val="22"/>
              </w:rPr>
            </m:ctrlPr>
          </m:dPr>
          <m:e>
            <m:sSup>
              <m:sSupPr>
                <m:ctrlPr>
                  <w:rPr>
                    <w:rFonts w:ascii="Cambria Math" w:hAnsi="Cambria Math"/>
                    <w:i/>
                    <w:color w:val="7030A0"/>
                    <w:sz w:val="22"/>
                  </w:rPr>
                </m:ctrlPr>
              </m:sSupPr>
              <m:e>
                <m:r>
                  <w:rPr>
                    <w:rFonts w:ascii="Cambria Math" w:hAnsi="Cambria Math"/>
                    <w:color w:val="7030A0"/>
                    <w:sz w:val="22"/>
                  </w:rPr>
                  <m:t>S</m:t>
                </m:r>
              </m:e>
              <m:sup>
                <m:r>
                  <w:rPr>
                    <w:rFonts w:ascii="Cambria Math" w:hAnsi="Cambria Math"/>
                    <w:color w:val="7030A0"/>
                    <w:sz w:val="22"/>
                  </w:rPr>
                  <m:t>r×a</m:t>
                </m:r>
              </m:sup>
            </m:sSup>
            <m:r>
              <w:rPr>
                <w:rFonts w:ascii="Cambria Math" w:hAnsi="Cambria Math"/>
                <w:color w:val="7030A0"/>
                <w:sz w:val="22"/>
              </w:rPr>
              <m:t>Gb</m:t>
            </m:r>
          </m:e>
        </m:d>
        <m:limUpp>
          <m:limUppPr>
            <m:ctrlPr>
              <w:rPr>
                <w:rFonts w:ascii="Cambria Math" w:hAnsi="Cambria Math"/>
                <w:i/>
                <w:sz w:val="22"/>
              </w:rPr>
            </m:ctrlPr>
          </m:limUppPr>
          <m:e>
            <m:groupChr>
              <m:groupChrPr>
                <m:chr m:val="⏞"/>
                <m:pos m:val="top"/>
                <m:vertJc m:val="bot"/>
                <m:ctrlPr>
                  <w:rPr>
                    <w:rFonts w:ascii="Cambria Math" w:hAnsi="Cambria Math"/>
                    <w:i/>
                    <w:sz w:val="22"/>
                  </w:rPr>
                </m:ctrlPr>
              </m:groupChrPr>
              <m:e>
                <m:r>
                  <w:rPr>
                    <w:rFonts w:ascii="Cambria Math" w:hAnsi="Cambria Math"/>
                    <w:sz w:val="22"/>
                  </w:rPr>
                  <m:t>=</m:t>
                </m:r>
              </m:e>
            </m:groupChr>
          </m:e>
          <m:lim>
            <m:eqArr>
              <m:eqArrPr>
                <m:ctrlPr>
                  <w:rPr>
                    <w:rFonts w:ascii="Cambria Math" w:hAnsi="Cambria Math"/>
                    <w:i/>
                    <w:sz w:val="22"/>
                  </w:rPr>
                </m:ctrlPr>
              </m:eqArrPr>
              <m:e>
                <m:r>
                  <m:rPr>
                    <m:nor/>
                  </m:rPr>
                  <w:rPr>
                    <w:rFonts w:ascii="Cambria Math" w:hAnsi="Cambria Math"/>
                    <w:sz w:val="22"/>
                  </w:rPr>
                  <m:t xml:space="preserve">cyclic </m:t>
                </m:r>
              </m:e>
              <m:e>
                <m:r>
                  <m:rPr>
                    <m:nor/>
                  </m:rPr>
                  <w:rPr>
                    <w:rFonts w:ascii="Cambria Math" w:hAnsi="Cambria Math"/>
                    <w:sz w:val="22"/>
                  </w:rPr>
                  <m:t xml:space="preserve">shift </m:t>
                </m:r>
                <m:ctrlPr>
                  <w:rPr>
                    <w:rFonts w:ascii="Cambria Math" w:eastAsia="Cambria Math" w:hAnsi="Cambria Math" w:cs="Cambria Math"/>
                    <w:i/>
                  </w:rPr>
                </m:ctrlPr>
              </m:e>
              <m:e>
                <m:r>
                  <m:rPr>
                    <m:nor/>
                  </m:rPr>
                  <w:rPr>
                    <w:rFonts w:ascii="Cambria Math" w:hAnsi="Cambria Math"/>
                    <w:sz w:val="22"/>
                  </w:rPr>
                  <m:t>property</m:t>
                </m:r>
              </m:e>
            </m:eqArr>
          </m:lim>
        </m:limUpp>
        <m:sSup>
          <m:sSupPr>
            <m:ctrlPr>
              <w:rPr>
                <w:rFonts w:ascii="Cambria Math" w:hAnsi="Cambria Math"/>
                <w:i/>
                <w:sz w:val="22"/>
              </w:rPr>
            </m:ctrlPr>
          </m:sSupPr>
          <m:e>
            <m:r>
              <w:rPr>
                <w:rFonts w:ascii="Cambria Math" w:hAnsi="Cambria Math"/>
                <w:sz w:val="22"/>
              </w:rPr>
              <m:t>G</m:t>
            </m:r>
          </m:e>
          <m:sup>
            <m:r>
              <w:rPr>
                <w:rFonts w:ascii="Cambria Math" w:hAnsi="Cambria Math"/>
                <w:sz w:val="22"/>
              </w:rPr>
              <m:t>-1</m:t>
            </m:r>
          </m:sup>
        </m:sSup>
        <m:d>
          <m:dPr>
            <m:ctrlPr>
              <w:rPr>
                <w:rFonts w:ascii="Cambria Math" w:hAnsi="Cambria Math"/>
                <w:i/>
                <w:sz w:val="22"/>
              </w:rPr>
            </m:ctrlPr>
          </m:dPr>
          <m:e>
            <m:r>
              <w:rPr>
                <w:rFonts w:ascii="Cambria Math" w:hAnsi="Cambria Math"/>
                <w:color w:val="7030A0"/>
                <w:sz w:val="22"/>
              </w:rPr>
              <m:t>G</m:t>
            </m:r>
            <m:sSup>
              <m:sSupPr>
                <m:ctrlPr>
                  <w:rPr>
                    <w:rFonts w:ascii="Cambria Math" w:hAnsi="Cambria Math"/>
                    <w:i/>
                    <w:color w:val="7030A0"/>
                    <w:sz w:val="22"/>
                  </w:rPr>
                </m:ctrlPr>
              </m:sSupPr>
              <m:e>
                <m:r>
                  <w:rPr>
                    <w:rFonts w:ascii="Cambria Math" w:hAnsi="Cambria Math"/>
                    <w:color w:val="7030A0"/>
                    <w:sz w:val="22"/>
                  </w:rPr>
                  <m:t>S</m:t>
                </m:r>
              </m:e>
              <m:sup>
                <m:r>
                  <w:rPr>
                    <w:rFonts w:ascii="Cambria Math" w:hAnsi="Cambria Math"/>
                    <w:color w:val="7030A0"/>
                    <w:sz w:val="22"/>
                  </w:rPr>
                  <m:t>r×b</m:t>
                </m:r>
              </m:sup>
            </m:sSup>
            <m:r>
              <w:rPr>
                <w:rFonts w:ascii="Cambria Math" w:hAnsi="Cambria Math"/>
                <w:color w:val="7030A0"/>
                <w:sz w:val="22"/>
              </w:rPr>
              <m:t>b</m:t>
            </m:r>
          </m:e>
        </m:d>
        <m:r>
          <w:rPr>
            <w:rFonts w:ascii="Cambria Math" w:hAnsi="Cambria Math"/>
            <w:sz w:val="22"/>
          </w:rPr>
          <m:t>=</m:t>
        </m:r>
        <m:sSup>
          <m:sSupPr>
            <m:ctrlPr>
              <w:rPr>
                <w:rFonts w:ascii="Cambria Math" w:hAnsi="Cambria Math"/>
                <w:i/>
                <w:sz w:val="22"/>
              </w:rPr>
            </m:ctrlPr>
          </m:sSupPr>
          <m:e>
            <m:r>
              <w:rPr>
                <w:rFonts w:ascii="Cambria Math" w:hAnsi="Cambria Math"/>
                <w:sz w:val="22"/>
              </w:rPr>
              <m:t>S</m:t>
            </m:r>
          </m:e>
          <m:sup>
            <m:r>
              <w:rPr>
                <w:rFonts w:ascii="Cambria Math" w:hAnsi="Cambria Math"/>
                <w:sz w:val="22"/>
              </w:rPr>
              <m:t>r×b</m:t>
            </m:r>
          </m:sup>
        </m:sSup>
        <m:r>
          <w:rPr>
            <w:rFonts w:ascii="Cambria Math" w:hAnsi="Cambria Math"/>
            <w:sz w:val="22"/>
          </w:rPr>
          <m:t>b</m:t>
        </m:r>
      </m:oMath>
      <w:r w:rsidR="00B8758D">
        <w:rPr>
          <w:sz w:val="22"/>
        </w:rPr>
        <w:t>.</w:t>
      </w:r>
    </w:p>
    <w:p w14:paraId="13CE74F9" w14:textId="79BC6AA3" w:rsidR="00E40026" w:rsidRDefault="00B8758D" w:rsidP="00E40026">
      <w:pPr>
        <w:rPr>
          <w:sz w:val="22"/>
        </w:rPr>
      </w:pPr>
      <w:r>
        <w:rPr>
          <w:sz w:val="22"/>
        </w:rPr>
        <w:t>It is worth noting that using CRC to find out the amount of cyclic shift may increase the false positive rate of the error detec</w:t>
      </w:r>
      <w:r w:rsidR="00D45A3B">
        <w:rPr>
          <w:sz w:val="22"/>
        </w:rPr>
        <w:t>tion.</w:t>
      </w:r>
    </w:p>
    <w:p w14:paraId="181B94A7" w14:textId="6EFABCF1" w:rsidR="005F730B" w:rsidRDefault="00E40026" w:rsidP="00E40026">
      <w:pPr>
        <w:jc w:val="both"/>
        <w:rPr>
          <w:sz w:val="22"/>
        </w:rPr>
      </w:pPr>
      <w:r w:rsidRPr="00453E8C">
        <w:rPr>
          <w:b/>
          <w:sz w:val="22"/>
          <w:u w:val="single"/>
        </w:rPr>
        <w:t xml:space="preserve">Proposal </w:t>
      </w:r>
      <w:r>
        <w:rPr>
          <w:b/>
          <w:sz w:val="22"/>
          <w:u w:val="single"/>
        </w:rPr>
        <w:t>2</w:t>
      </w:r>
      <w:r w:rsidRPr="00453E8C">
        <w:rPr>
          <w:sz w:val="22"/>
        </w:rPr>
        <w:t>:</w:t>
      </w:r>
      <w:r>
        <w:rPr>
          <w:sz w:val="22"/>
        </w:rPr>
        <w:t xml:space="preserve"> Study the use of cyclic shift to indicate the SS block index. </w:t>
      </w:r>
    </w:p>
    <w:p w14:paraId="243E8981" w14:textId="010BE158" w:rsidR="00E46CED" w:rsidRDefault="00E46CED" w:rsidP="00E46CED">
      <w:pPr>
        <w:pStyle w:val="Heading1"/>
        <w:ind w:left="432" w:hanging="432"/>
      </w:pPr>
      <w:r>
        <w:lastRenderedPageBreak/>
        <w:t>3</w:t>
      </w:r>
      <w:r w:rsidRPr="00E05A22">
        <w:tab/>
      </w:r>
      <w:r>
        <w:t>Design options</w:t>
      </w:r>
    </w:p>
    <w:p w14:paraId="18CCBA18" w14:textId="7808A2AF" w:rsidR="00E46CED" w:rsidRDefault="00E46CED" w:rsidP="00E46CED">
      <w:pPr>
        <w:jc w:val="both"/>
        <w:rPr>
          <w:sz w:val="22"/>
          <w:lang w:val="en-GB"/>
        </w:rPr>
      </w:pPr>
      <w:r w:rsidRPr="00E46CED">
        <w:rPr>
          <w:sz w:val="22"/>
          <w:lang w:val="en-GB"/>
        </w:rPr>
        <w:t xml:space="preserve">In these two contributions </w:t>
      </w:r>
      <w:r w:rsidRPr="00E46CED">
        <w:rPr>
          <w:sz w:val="22"/>
          <w:lang w:val="en-GB"/>
        </w:rPr>
        <w:fldChar w:fldCharType="begin"/>
      </w:r>
      <w:r w:rsidRPr="00E46CED">
        <w:rPr>
          <w:sz w:val="22"/>
          <w:lang w:val="en-GB"/>
        </w:rPr>
        <w:instrText xml:space="preserve"> REF _Ref478138102 \r \h </w:instrText>
      </w:r>
      <w:r w:rsidRPr="00E46CED">
        <w:rPr>
          <w:sz w:val="22"/>
          <w:lang w:val="en-GB"/>
        </w:rPr>
      </w:r>
      <w:r w:rsidRPr="00E46CED">
        <w:rPr>
          <w:sz w:val="22"/>
          <w:lang w:val="en-GB"/>
        </w:rPr>
        <w:instrText xml:space="preserve"> \* MERGEFORMAT </w:instrText>
      </w:r>
      <w:r w:rsidRPr="00E46CED">
        <w:rPr>
          <w:sz w:val="22"/>
          <w:lang w:val="en-GB"/>
        </w:rPr>
        <w:fldChar w:fldCharType="separate"/>
      </w:r>
      <w:r w:rsidRPr="00E46CED">
        <w:rPr>
          <w:sz w:val="22"/>
          <w:lang w:val="en-GB"/>
        </w:rPr>
        <w:t>[2</w:t>
      </w:r>
      <w:proofErr w:type="gramStart"/>
      <w:r w:rsidRPr="00E46CED">
        <w:rPr>
          <w:sz w:val="22"/>
          <w:lang w:val="en-GB"/>
        </w:rPr>
        <w:t>]</w:t>
      </w:r>
      <w:proofErr w:type="gramEnd"/>
      <w:r w:rsidRPr="00E46CED">
        <w:rPr>
          <w:sz w:val="22"/>
          <w:lang w:val="en-GB"/>
        </w:rPr>
        <w:fldChar w:fldCharType="end"/>
      </w:r>
      <w:r w:rsidRPr="00E46CED">
        <w:rPr>
          <w:sz w:val="22"/>
          <w:lang w:val="en-GB"/>
        </w:rPr>
        <w:fldChar w:fldCharType="begin"/>
      </w:r>
      <w:r w:rsidRPr="00E46CED">
        <w:rPr>
          <w:sz w:val="22"/>
          <w:lang w:val="en-GB"/>
        </w:rPr>
        <w:instrText xml:space="preserve"> REF _Ref478138104 \r \h </w:instrText>
      </w:r>
      <w:r w:rsidRPr="00E46CED">
        <w:rPr>
          <w:sz w:val="22"/>
          <w:lang w:val="en-GB"/>
        </w:rPr>
      </w:r>
      <w:r w:rsidRPr="00E46CED">
        <w:rPr>
          <w:sz w:val="22"/>
          <w:lang w:val="en-GB"/>
        </w:rPr>
        <w:instrText xml:space="preserve"> \* MERGEFORMAT </w:instrText>
      </w:r>
      <w:r w:rsidRPr="00E46CED">
        <w:rPr>
          <w:sz w:val="22"/>
          <w:lang w:val="en-GB"/>
        </w:rPr>
        <w:fldChar w:fldCharType="separate"/>
      </w:r>
      <w:r w:rsidRPr="00E46CED">
        <w:rPr>
          <w:sz w:val="22"/>
          <w:lang w:val="en-GB"/>
        </w:rPr>
        <w:t>[3]</w:t>
      </w:r>
      <w:r w:rsidRPr="00E46CED">
        <w:rPr>
          <w:sz w:val="22"/>
          <w:lang w:val="en-GB"/>
        </w:rPr>
        <w:fldChar w:fldCharType="end"/>
      </w:r>
      <w:r w:rsidRPr="00E46CED">
        <w:rPr>
          <w:sz w:val="22"/>
          <w:lang w:val="en-GB"/>
        </w:rPr>
        <w:t>, we</w:t>
      </w:r>
      <w:r w:rsidR="00DD08B5">
        <w:rPr>
          <w:sz w:val="22"/>
          <w:lang w:val="en-GB"/>
        </w:rPr>
        <w:t xml:space="preserve"> further</w:t>
      </w:r>
      <w:r w:rsidRPr="00E46CED">
        <w:rPr>
          <w:sz w:val="22"/>
          <w:lang w:val="en-GB"/>
        </w:rPr>
        <w:t xml:space="preserve"> </w:t>
      </w:r>
      <w:r>
        <w:rPr>
          <w:sz w:val="22"/>
          <w:lang w:val="en-GB"/>
        </w:rPr>
        <w:t>elaborated the</w:t>
      </w:r>
      <w:r w:rsidRPr="00E46CED">
        <w:rPr>
          <w:sz w:val="22"/>
          <w:lang w:val="en-GB"/>
        </w:rPr>
        <w:t xml:space="preserve"> method to encode the SS block index information together with PBCH utilizing the cyclic shift property</w:t>
      </w:r>
      <w:r>
        <w:rPr>
          <w:sz w:val="22"/>
          <w:lang w:val="en-GB"/>
        </w:rPr>
        <w:t>. There we show that TBCC serves as a good candidate for PBCH encoding</w:t>
      </w:r>
      <w:r w:rsidR="004317A3">
        <w:rPr>
          <w:sz w:val="22"/>
          <w:lang w:val="en-GB"/>
        </w:rPr>
        <w:t xml:space="preserve"> with cyclic shift based SS block index indication</w:t>
      </w:r>
      <w:r>
        <w:rPr>
          <w:sz w:val="22"/>
          <w:lang w:val="en-GB"/>
        </w:rPr>
        <w:t xml:space="preserve">.  </w:t>
      </w:r>
      <w:r w:rsidR="00DD08B5">
        <w:rPr>
          <w:sz w:val="22"/>
          <w:lang w:val="en-GB"/>
        </w:rPr>
        <w:t xml:space="preserve">Beside, as we have shown in </w:t>
      </w:r>
      <w:r w:rsidR="00DD08B5">
        <w:rPr>
          <w:sz w:val="22"/>
          <w:lang w:val="en-GB"/>
        </w:rPr>
        <w:fldChar w:fldCharType="begin"/>
      </w:r>
      <w:r w:rsidR="00DD08B5">
        <w:rPr>
          <w:sz w:val="22"/>
          <w:lang w:val="en-GB"/>
        </w:rPr>
        <w:instrText xml:space="preserve"> REF _Ref478138772 \r \h </w:instrText>
      </w:r>
      <w:r w:rsidR="00DD08B5">
        <w:rPr>
          <w:sz w:val="22"/>
          <w:lang w:val="en-GB"/>
        </w:rPr>
      </w:r>
      <w:r w:rsidR="00DD08B5">
        <w:rPr>
          <w:sz w:val="22"/>
          <w:lang w:val="en-GB"/>
        </w:rPr>
        <w:fldChar w:fldCharType="separate"/>
      </w:r>
      <w:r w:rsidR="00DD08B5">
        <w:rPr>
          <w:sz w:val="22"/>
          <w:lang w:val="en-GB"/>
        </w:rPr>
        <w:t>[4]</w:t>
      </w:r>
      <w:r w:rsidR="00DD08B5">
        <w:rPr>
          <w:sz w:val="22"/>
          <w:lang w:val="en-GB"/>
        </w:rPr>
        <w:fldChar w:fldCharType="end"/>
      </w:r>
      <w:r w:rsidR="00DD08B5">
        <w:rPr>
          <w:sz w:val="22"/>
          <w:lang w:val="en-GB"/>
        </w:rPr>
        <w:t xml:space="preserve"> (Figure 8 and Figure 10 in </w:t>
      </w:r>
      <w:r w:rsidR="00DD08B5">
        <w:rPr>
          <w:sz w:val="22"/>
          <w:lang w:val="en-GB"/>
        </w:rPr>
        <w:fldChar w:fldCharType="begin"/>
      </w:r>
      <w:r w:rsidR="00DD08B5">
        <w:rPr>
          <w:sz w:val="22"/>
          <w:lang w:val="en-GB"/>
        </w:rPr>
        <w:instrText xml:space="preserve"> REF _Ref478138772 \r \h </w:instrText>
      </w:r>
      <w:r w:rsidR="00DD08B5">
        <w:rPr>
          <w:sz w:val="22"/>
          <w:lang w:val="en-GB"/>
        </w:rPr>
      </w:r>
      <w:r w:rsidR="00DD08B5">
        <w:rPr>
          <w:sz w:val="22"/>
          <w:lang w:val="en-GB"/>
        </w:rPr>
        <w:fldChar w:fldCharType="separate"/>
      </w:r>
      <w:r w:rsidR="00DD08B5">
        <w:rPr>
          <w:sz w:val="22"/>
          <w:lang w:val="en-GB"/>
        </w:rPr>
        <w:t>[4]</w:t>
      </w:r>
      <w:r w:rsidR="00DD08B5">
        <w:rPr>
          <w:sz w:val="22"/>
          <w:lang w:val="en-GB"/>
        </w:rPr>
        <w:fldChar w:fldCharType="end"/>
      </w:r>
      <w:r w:rsidR="00DD08B5">
        <w:rPr>
          <w:sz w:val="22"/>
          <w:lang w:val="en-GB"/>
        </w:rPr>
        <w:t xml:space="preserve"> are restated here as </w:t>
      </w:r>
      <w:r w:rsidR="00DD08B5" w:rsidRPr="00DD08B5">
        <w:rPr>
          <w:sz w:val="22"/>
          <w:lang w:val="en-GB"/>
        </w:rPr>
        <w:fldChar w:fldCharType="begin"/>
      </w:r>
      <w:r w:rsidR="00DD08B5" w:rsidRPr="00DD08B5">
        <w:rPr>
          <w:sz w:val="22"/>
          <w:lang w:val="en-GB"/>
        </w:rPr>
        <w:instrText xml:space="preserve"> REF _Ref466757092 \h </w:instrText>
      </w:r>
      <w:r w:rsidR="00DD08B5" w:rsidRPr="00DD08B5">
        <w:rPr>
          <w:sz w:val="22"/>
          <w:lang w:val="en-GB"/>
        </w:rPr>
      </w:r>
      <w:r w:rsidR="00DD08B5" w:rsidRPr="00DD08B5">
        <w:rPr>
          <w:sz w:val="22"/>
          <w:lang w:val="en-GB"/>
        </w:rPr>
        <w:instrText xml:space="preserve"> \* MERGEFORMAT </w:instrText>
      </w:r>
      <w:r w:rsidR="00DD08B5" w:rsidRPr="00DD08B5">
        <w:rPr>
          <w:sz w:val="22"/>
          <w:lang w:val="en-GB"/>
        </w:rPr>
        <w:fldChar w:fldCharType="separate"/>
      </w:r>
      <w:r w:rsidR="00DD08B5" w:rsidRPr="00DD08B5">
        <w:rPr>
          <w:sz w:val="24"/>
        </w:rPr>
        <w:t xml:space="preserve">Figure </w:t>
      </w:r>
      <w:r w:rsidR="00DD08B5" w:rsidRPr="00DD08B5">
        <w:rPr>
          <w:noProof/>
          <w:sz w:val="24"/>
        </w:rPr>
        <w:t>1</w:t>
      </w:r>
      <w:r w:rsidR="00DD08B5" w:rsidRPr="00DD08B5">
        <w:rPr>
          <w:sz w:val="22"/>
          <w:lang w:val="en-GB"/>
        </w:rPr>
        <w:fldChar w:fldCharType="end"/>
      </w:r>
      <w:r w:rsidR="00DD08B5" w:rsidRPr="00DD08B5">
        <w:rPr>
          <w:sz w:val="22"/>
          <w:lang w:val="en-GB"/>
        </w:rPr>
        <w:t xml:space="preserve"> and </w:t>
      </w:r>
      <w:r w:rsidR="00DD08B5" w:rsidRPr="00DD08B5">
        <w:rPr>
          <w:sz w:val="22"/>
          <w:lang w:val="en-GB"/>
        </w:rPr>
        <w:fldChar w:fldCharType="begin"/>
      </w:r>
      <w:r w:rsidR="00DD08B5" w:rsidRPr="00DD08B5">
        <w:rPr>
          <w:sz w:val="22"/>
          <w:lang w:val="en-GB"/>
        </w:rPr>
        <w:instrText xml:space="preserve"> REF _Ref466816003 \h </w:instrText>
      </w:r>
      <w:r w:rsidR="00DD08B5" w:rsidRPr="00DD08B5">
        <w:rPr>
          <w:sz w:val="22"/>
          <w:lang w:val="en-GB"/>
        </w:rPr>
      </w:r>
      <w:r w:rsidR="00DD08B5" w:rsidRPr="00DD08B5">
        <w:rPr>
          <w:sz w:val="22"/>
          <w:lang w:val="en-GB"/>
        </w:rPr>
        <w:instrText xml:space="preserve"> \* MERGEFORMAT </w:instrText>
      </w:r>
      <w:r w:rsidR="00DD08B5" w:rsidRPr="00DD08B5">
        <w:rPr>
          <w:sz w:val="22"/>
          <w:lang w:val="en-GB"/>
        </w:rPr>
        <w:fldChar w:fldCharType="separate"/>
      </w:r>
      <w:r w:rsidR="00DD08B5" w:rsidRPr="00DD08B5">
        <w:rPr>
          <w:sz w:val="24"/>
        </w:rPr>
        <w:t xml:space="preserve">Figure </w:t>
      </w:r>
      <w:r w:rsidR="00DD08B5" w:rsidRPr="00DD08B5">
        <w:rPr>
          <w:noProof/>
          <w:sz w:val="24"/>
        </w:rPr>
        <w:t>2</w:t>
      </w:r>
      <w:r w:rsidR="00DD08B5" w:rsidRPr="00DD08B5">
        <w:rPr>
          <w:sz w:val="22"/>
          <w:lang w:val="en-GB"/>
        </w:rPr>
        <w:fldChar w:fldCharType="end"/>
      </w:r>
      <w:r w:rsidR="00DD08B5">
        <w:rPr>
          <w:sz w:val="22"/>
          <w:lang w:val="en-GB"/>
        </w:rPr>
        <w:t xml:space="preserve">), </w:t>
      </w:r>
      <w:r w:rsidR="00DD08B5" w:rsidRPr="00DD08B5">
        <w:rPr>
          <w:sz w:val="22"/>
          <w:lang w:val="en-GB"/>
        </w:rPr>
        <w:t>TBCC can provide comparable</w:t>
      </w:r>
      <w:r w:rsidR="00DD08B5">
        <w:rPr>
          <w:sz w:val="22"/>
          <w:lang w:val="en-GB"/>
        </w:rPr>
        <w:t xml:space="preserve"> (and often better)</w:t>
      </w:r>
      <w:r w:rsidR="00DD08B5" w:rsidRPr="00DD08B5">
        <w:rPr>
          <w:sz w:val="22"/>
          <w:lang w:val="en-GB"/>
        </w:rPr>
        <w:t xml:space="preserve"> performance</w:t>
      </w:r>
      <w:r w:rsidR="00D17FC3">
        <w:rPr>
          <w:sz w:val="22"/>
          <w:lang w:val="en-GB"/>
        </w:rPr>
        <w:t xml:space="preserve"> than </w:t>
      </w:r>
      <w:r w:rsidR="00D17FC3" w:rsidRPr="00DD08B5">
        <w:rPr>
          <w:sz w:val="22"/>
          <w:lang w:val="en-GB"/>
        </w:rPr>
        <w:t xml:space="preserve">Polar </w:t>
      </w:r>
      <w:r w:rsidR="00D17FC3">
        <w:rPr>
          <w:sz w:val="22"/>
          <w:lang w:val="en-GB"/>
        </w:rPr>
        <w:t>code</w:t>
      </w:r>
      <w:r w:rsidR="00DD08B5" w:rsidRPr="00DD08B5">
        <w:rPr>
          <w:sz w:val="22"/>
          <w:lang w:val="en-GB"/>
        </w:rPr>
        <w:t xml:space="preserve"> in the </w:t>
      </w:r>
      <w:r w:rsidR="00DD08B5">
        <w:rPr>
          <w:sz w:val="22"/>
          <w:lang w:val="en-GB"/>
        </w:rPr>
        <w:t>PBCH operation</w:t>
      </w:r>
      <w:r w:rsidR="00DD08B5" w:rsidRPr="00DD08B5">
        <w:rPr>
          <w:sz w:val="22"/>
          <w:lang w:val="en-GB"/>
        </w:rPr>
        <w:t xml:space="preserve"> regime.</w:t>
      </w:r>
      <w:r w:rsidR="00DD08B5">
        <w:rPr>
          <w:sz w:val="22"/>
          <w:lang w:val="en-GB"/>
        </w:rPr>
        <w:t xml:space="preserve"> Therefore, </w:t>
      </w:r>
      <w:r w:rsidR="0011671C">
        <w:rPr>
          <w:sz w:val="22"/>
          <w:lang w:val="en-GB"/>
        </w:rPr>
        <w:t xml:space="preserve">we reach the following </w:t>
      </w:r>
      <w:r w:rsidR="00D17FC3">
        <w:rPr>
          <w:sz w:val="22"/>
          <w:lang w:val="en-GB"/>
        </w:rPr>
        <w:t>observation</w:t>
      </w:r>
    </w:p>
    <w:p w14:paraId="64138662" w14:textId="6BF7A2B8" w:rsidR="0011671C" w:rsidRPr="00697706" w:rsidRDefault="0011671C" w:rsidP="0011671C">
      <w:pPr>
        <w:rPr>
          <w:b/>
          <w:sz w:val="22"/>
        </w:rPr>
      </w:pPr>
      <w:r w:rsidRPr="00697706">
        <w:rPr>
          <w:b/>
          <w:sz w:val="22"/>
          <w:u w:val="single"/>
        </w:rPr>
        <w:t>Observation</w:t>
      </w:r>
      <w:r w:rsidRPr="00697706">
        <w:rPr>
          <w:b/>
          <w:sz w:val="22"/>
          <w:u w:val="single"/>
        </w:rPr>
        <w:t xml:space="preserve"> </w:t>
      </w:r>
      <w:r w:rsidRPr="00697706">
        <w:rPr>
          <w:b/>
          <w:sz w:val="22"/>
          <w:u w:val="single"/>
        </w:rPr>
        <w:t>1</w:t>
      </w:r>
      <w:r w:rsidRPr="00850B02">
        <w:rPr>
          <w:sz w:val="22"/>
        </w:rPr>
        <w:t xml:space="preserve">: </w:t>
      </w:r>
      <w:r w:rsidRPr="00850B02">
        <w:rPr>
          <w:sz w:val="22"/>
        </w:rPr>
        <w:t>TBCC serves as a good candidate for PBCH encoding with cyclic shift based SS block index indication.</w:t>
      </w:r>
      <w:r w:rsidRPr="00697706">
        <w:rPr>
          <w:b/>
          <w:sz w:val="22"/>
        </w:rPr>
        <w:t xml:space="preserve"> </w:t>
      </w:r>
      <w:r w:rsidRPr="00697706">
        <w:rPr>
          <w:b/>
          <w:sz w:val="22"/>
        </w:rPr>
        <w:t xml:space="preserve"> </w:t>
      </w:r>
      <w:bookmarkStart w:id="2" w:name="_GoBack"/>
      <w:bookmarkEnd w:id="2"/>
    </w:p>
    <w:p w14:paraId="5AD8CDF7" w14:textId="77777777" w:rsidR="0011671C" w:rsidRPr="0011671C" w:rsidRDefault="0011671C" w:rsidP="00E46CED">
      <w:pPr>
        <w:jc w:val="both"/>
        <w:rPr>
          <w:sz w:val="22"/>
        </w:rPr>
      </w:pPr>
    </w:p>
    <w:p w14:paraId="200043C2" w14:textId="77777777" w:rsidR="00DD08B5" w:rsidRDefault="00DD08B5" w:rsidP="00DD08B5">
      <w:pPr>
        <w:jc w:val="center"/>
      </w:pPr>
      <w:r w:rsidRPr="00060EB2">
        <w:rPr>
          <w:noProof/>
          <w:lang w:eastAsia="zh-CN"/>
        </w:rPr>
        <w:drawing>
          <wp:inline distT="0" distB="0" distL="0" distR="0" wp14:anchorId="7EE524AB" wp14:editId="58256F4B">
            <wp:extent cx="5135526" cy="32198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7820" cy="3221244"/>
                    </a:xfrm>
                    <a:prstGeom prst="rect">
                      <a:avLst/>
                    </a:prstGeom>
                    <a:noFill/>
                    <a:ln>
                      <a:noFill/>
                    </a:ln>
                  </pic:spPr>
                </pic:pic>
              </a:graphicData>
            </a:graphic>
          </wp:inline>
        </w:drawing>
      </w:r>
    </w:p>
    <w:p w14:paraId="45343514" w14:textId="77777777" w:rsidR="00DD08B5" w:rsidRDefault="00DD08B5" w:rsidP="00DD08B5">
      <w:pPr>
        <w:pStyle w:val="Caption"/>
        <w:spacing w:before="0"/>
        <w:jc w:val="center"/>
        <w:rPr>
          <w:b w:val="0"/>
          <w:sz w:val="24"/>
        </w:rPr>
      </w:pPr>
      <w:bookmarkStart w:id="3" w:name="_Ref466757092"/>
      <w:r w:rsidRPr="00A7125B">
        <w:rPr>
          <w:b w:val="0"/>
          <w:sz w:val="24"/>
        </w:rPr>
        <w:t xml:space="preserve">Figure </w:t>
      </w:r>
      <w:r w:rsidRPr="00A7125B">
        <w:rPr>
          <w:b w:val="0"/>
          <w:sz w:val="24"/>
        </w:rPr>
        <w:fldChar w:fldCharType="begin"/>
      </w:r>
      <w:r w:rsidRPr="00A7125B">
        <w:rPr>
          <w:b w:val="0"/>
          <w:sz w:val="24"/>
        </w:rPr>
        <w:instrText xml:space="preserve"> SEQ Figure \* ARABIC </w:instrText>
      </w:r>
      <w:r w:rsidRPr="00A7125B">
        <w:rPr>
          <w:b w:val="0"/>
          <w:sz w:val="24"/>
        </w:rPr>
        <w:fldChar w:fldCharType="separate"/>
      </w:r>
      <w:r>
        <w:rPr>
          <w:b w:val="0"/>
          <w:noProof/>
          <w:sz w:val="24"/>
        </w:rPr>
        <w:t>1</w:t>
      </w:r>
      <w:r w:rsidRPr="00A7125B">
        <w:rPr>
          <w:b w:val="0"/>
          <w:sz w:val="24"/>
        </w:rPr>
        <w:fldChar w:fldCharType="end"/>
      </w:r>
      <w:bookmarkEnd w:id="3"/>
      <w:r>
        <w:rPr>
          <w:b w:val="0"/>
          <w:sz w:val="24"/>
        </w:rPr>
        <w:t>.</w:t>
      </w:r>
      <w:r w:rsidRPr="00A7125B">
        <w:rPr>
          <w:b w:val="0"/>
          <w:sz w:val="24"/>
        </w:rPr>
        <w:t xml:space="preserve"> PC Polar and TBCC comparison </w:t>
      </w:r>
      <w:r>
        <w:rPr>
          <w:b w:val="0"/>
          <w:sz w:val="24"/>
        </w:rPr>
        <w:t xml:space="preserve">with practical decoding complexity </w:t>
      </w:r>
      <w:r w:rsidRPr="00A7125B">
        <w:rPr>
          <w:b w:val="0"/>
          <w:sz w:val="24"/>
        </w:rPr>
        <w:t>in DCI regime with normalized FA</w:t>
      </w:r>
      <w:r>
        <w:rPr>
          <w:b w:val="0"/>
          <w:sz w:val="24"/>
        </w:rPr>
        <w:t xml:space="preserve"> under AWGN channel</w:t>
      </w:r>
    </w:p>
    <w:p w14:paraId="1A7E3208" w14:textId="77777777" w:rsidR="00DD08B5" w:rsidRDefault="00DD08B5" w:rsidP="00DD08B5">
      <w:pPr>
        <w:keepNext/>
        <w:jc w:val="center"/>
      </w:pPr>
      <w:r w:rsidRPr="008E0E3B">
        <w:rPr>
          <w:noProof/>
          <w:lang w:eastAsia="zh-CN"/>
        </w:rPr>
        <w:lastRenderedPageBreak/>
        <w:drawing>
          <wp:inline distT="0" distB="0" distL="0" distR="0" wp14:anchorId="48C9490E" wp14:editId="080E3D57">
            <wp:extent cx="4869712" cy="339941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8959" cy="3405870"/>
                    </a:xfrm>
                    <a:prstGeom prst="rect">
                      <a:avLst/>
                    </a:prstGeom>
                    <a:noFill/>
                    <a:ln>
                      <a:noFill/>
                    </a:ln>
                  </pic:spPr>
                </pic:pic>
              </a:graphicData>
            </a:graphic>
          </wp:inline>
        </w:drawing>
      </w:r>
    </w:p>
    <w:p w14:paraId="765227AF" w14:textId="77777777" w:rsidR="00DD08B5" w:rsidRPr="00ED3CDD" w:rsidRDefault="00DD08B5" w:rsidP="00DD08B5">
      <w:pPr>
        <w:pStyle w:val="Caption"/>
        <w:jc w:val="center"/>
        <w:rPr>
          <w:sz w:val="24"/>
        </w:rPr>
      </w:pPr>
      <w:bookmarkStart w:id="4" w:name="_Ref466816003"/>
      <w:r w:rsidRPr="00ED3CDD">
        <w:rPr>
          <w:b w:val="0"/>
          <w:sz w:val="24"/>
        </w:rPr>
        <w:t xml:space="preserve">Figure </w:t>
      </w:r>
      <w:r w:rsidRPr="00ED3CDD">
        <w:rPr>
          <w:b w:val="0"/>
          <w:sz w:val="24"/>
        </w:rPr>
        <w:fldChar w:fldCharType="begin"/>
      </w:r>
      <w:r w:rsidRPr="00ED3CDD">
        <w:rPr>
          <w:b w:val="0"/>
          <w:sz w:val="24"/>
        </w:rPr>
        <w:instrText xml:space="preserve"> SEQ Figure \* ARABIC </w:instrText>
      </w:r>
      <w:r w:rsidRPr="00ED3CDD">
        <w:rPr>
          <w:b w:val="0"/>
          <w:sz w:val="24"/>
        </w:rPr>
        <w:fldChar w:fldCharType="separate"/>
      </w:r>
      <w:r>
        <w:rPr>
          <w:b w:val="0"/>
          <w:noProof/>
          <w:sz w:val="24"/>
        </w:rPr>
        <w:t>2</w:t>
      </w:r>
      <w:r w:rsidRPr="00ED3CDD">
        <w:rPr>
          <w:b w:val="0"/>
          <w:sz w:val="24"/>
        </w:rPr>
        <w:fldChar w:fldCharType="end"/>
      </w:r>
      <w:bookmarkEnd w:id="4"/>
      <w:r w:rsidRPr="00ED3CDD">
        <w:rPr>
          <w:b w:val="0"/>
          <w:sz w:val="24"/>
        </w:rPr>
        <w:t xml:space="preserve"> PC Polar and TBCC comparison with practical decoding complexity in</w:t>
      </w:r>
      <w:r w:rsidRPr="008E0E3B">
        <w:rPr>
          <w:b w:val="0"/>
          <w:sz w:val="24"/>
        </w:rPr>
        <w:t xml:space="preserve"> DCI regime with normalized FA </w:t>
      </w:r>
      <w:r w:rsidRPr="00ED3CDD">
        <w:rPr>
          <w:b w:val="0"/>
          <w:sz w:val="24"/>
        </w:rPr>
        <w:t>under fading channel</w:t>
      </w:r>
    </w:p>
    <w:p w14:paraId="0C6D4C88" w14:textId="77777777" w:rsidR="00E46CED" w:rsidRPr="00E44060" w:rsidRDefault="00E46CED" w:rsidP="00E40026">
      <w:pPr>
        <w:jc w:val="both"/>
        <w:rPr>
          <w:sz w:val="22"/>
        </w:rPr>
      </w:pPr>
    </w:p>
    <w:p w14:paraId="142EC27A" w14:textId="16186565" w:rsidR="00EF27E2" w:rsidRPr="00EF27E2" w:rsidRDefault="00EF27E2" w:rsidP="00EF27E2">
      <w:pPr>
        <w:pStyle w:val="Heading1"/>
        <w:ind w:left="432" w:hanging="432"/>
      </w:pPr>
      <w:r>
        <w:t>3</w:t>
      </w:r>
      <w:r w:rsidRPr="00E05A22">
        <w:tab/>
      </w:r>
      <w:r w:rsidR="00E91B32">
        <w:t>Conclusion</w:t>
      </w:r>
    </w:p>
    <w:p w14:paraId="40D64DAB" w14:textId="2D9E6241" w:rsidR="00D81B8B" w:rsidRDefault="00EF27E2" w:rsidP="00EF27E2">
      <w:pPr>
        <w:rPr>
          <w:sz w:val="22"/>
        </w:rPr>
      </w:pPr>
      <w:r w:rsidRPr="00453E8C">
        <w:rPr>
          <w:b/>
          <w:sz w:val="22"/>
          <w:u w:val="single"/>
        </w:rPr>
        <w:t>Proposal 1</w:t>
      </w:r>
      <w:r w:rsidRPr="00453E8C">
        <w:rPr>
          <w:sz w:val="22"/>
        </w:rPr>
        <w:t>: Design should permit the UE to combine, in feasible manner, the NR-PBCH</w:t>
      </w:r>
      <w:r>
        <w:rPr>
          <w:sz w:val="22"/>
        </w:rPr>
        <w:t xml:space="preserve"> and SS block index</w:t>
      </w:r>
      <w:r w:rsidRPr="00453E8C">
        <w:rPr>
          <w:sz w:val="22"/>
        </w:rPr>
        <w:t xml:space="preserve"> transmitted in different SS blocks.</w:t>
      </w:r>
    </w:p>
    <w:p w14:paraId="0DFA0A8F" w14:textId="302C16DB" w:rsidR="00EF27E2" w:rsidRDefault="00977B69" w:rsidP="00977B69">
      <w:pPr>
        <w:jc w:val="both"/>
        <w:rPr>
          <w:sz w:val="22"/>
        </w:rPr>
      </w:pPr>
      <w:r w:rsidRPr="00453E8C">
        <w:rPr>
          <w:b/>
          <w:sz w:val="22"/>
          <w:u w:val="single"/>
        </w:rPr>
        <w:t xml:space="preserve">Proposal </w:t>
      </w:r>
      <w:r>
        <w:rPr>
          <w:b/>
          <w:sz w:val="22"/>
          <w:u w:val="single"/>
        </w:rPr>
        <w:t>2</w:t>
      </w:r>
      <w:r w:rsidRPr="00453E8C">
        <w:rPr>
          <w:sz w:val="22"/>
        </w:rPr>
        <w:t>:</w:t>
      </w:r>
      <w:r>
        <w:rPr>
          <w:sz w:val="22"/>
        </w:rPr>
        <w:t xml:space="preserve"> Study the use of cyclic shift to indicate the SS block index. </w:t>
      </w:r>
    </w:p>
    <w:p w14:paraId="603D47D6" w14:textId="77777777" w:rsidR="00D17FC3" w:rsidRPr="00697706" w:rsidRDefault="00D17FC3" w:rsidP="00D17FC3">
      <w:pPr>
        <w:rPr>
          <w:b/>
          <w:sz w:val="22"/>
        </w:rPr>
      </w:pPr>
      <w:r w:rsidRPr="00697706">
        <w:rPr>
          <w:b/>
          <w:sz w:val="22"/>
          <w:u w:val="single"/>
        </w:rPr>
        <w:t>Observation 1</w:t>
      </w:r>
      <w:r w:rsidRPr="00850B02">
        <w:rPr>
          <w:sz w:val="22"/>
        </w:rPr>
        <w:t>: TBCC serves as a good candidate for PBCH encoding with cyclic shift based SS block index indication.</w:t>
      </w:r>
      <w:r w:rsidRPr="00697706">
        <w:rPr>
          <w:b/>
          <w:sz w:val="22"/>
        </w:rPr>
        <w:t xml:space="preserve">  </w:t>
      </w:r>
    </w:p>
    <w:p w14:paraId="0E33E405" w14:textId="64561682" w:rsidR="006E10F6" w:rsidRPr="004E492E" w:rsidRDefault="006E10F6" w:rsidP="00956418">
      <w:pPr>
        <w:pStyle w:val="Heading1"/>
        <w:ind w:left="432" w:hanging="432"/>
        <w:rPr>
          <w:lang w:val="en-US"/>
        </w:rPr>
      </w:pPr>
      <w:r w:rsidRPr="00956418">
        <w:t>References</w:t>
      </w:r>
    </w:p>
    <w:p w14:paraId="415E0B10" w14:textId="2A3866C2" w:rsidR="008610A3" w:rsidRDefault="00E741BA" w:rsidP="00FD024A">
      <w:pPr>
        <w:pStyle w:val="References"/>
        <w:numPr>
          <w:ilvl w:val="0"/>
          <w:numId w:val="25"/>
        </w:numPr>
        <w:autoSpaceDE w:val="0"/>
        <w:autoSpaceDN w:val="0"/>
        <w:spacing w:line="240" w:lineRule="auto"/>
        <w:rPr>
          <w:rFonts w:ascii="Times New Roman" w:hAnsi="Times New Roman"/>
        </w:rPr>
      </w:pPr>
      <w:bookmarkStart w:id="5" w:name="_Ref471720178"/>
      <w:r>
        <w:rPr>
          <w:rFonts w:ascii="Times New Roman" w:hAnsi="Times New Roman"/>
        </w:rPr>
        <w:t>RAN1#8</w:t>
      </w:r>
      <w:r w:rsidR="004E492E">
        <w:rPr>
          <w:rFonts w:ascii="Times New Roman" w:hAnsi="Times New Roman"/>
        </w:rPr>
        <w:t>6</w:t>
      </w:r>
      <w:r w:rsidR="00650FA7">
        <w:rPr>
          <w:rFonts w:ascii="Times New Roman" w:hAnsi="Times New Roman"/>
        </w:rPr>
        <w:t>b</w:t>
      </w:r>
      <w:r>
        <w:rPr>
          <w:rFonts w:ascii="Times New Roman" w:hAnsi="Times New Roman"/>
        </w:rPr>
        <w:t xml:space="preserve"> </w:t>
      </w:r>
      <w:r w:rsidR="004E492E">
        <w:rPr>
          <w:rFonts w:ascii="Times New Roman" w:hAnsi="Times New Roman"/>
        </w:rPr>
        <w:t>Chairman notes</w:t>
      </w:r>
      <w:bookmarkEnd w:id="5"/>
    </w:p>
    <w:p w14:paraId="671AC54C" w14:textId="409AAA7D" w:rsidR="003D008F" w:rsidRDefault="005D4C0F" w:rsidP="003D008F">
      <w:pPr>
        <w:pStyle w:val="References"/>
        <w:numPr>
          <w:ilvl w:val="0"/>
          <w:numId w:val="25"/>
        </w:numPr>
        <w:autoSpaceDE w:val="0"/>
        <w:autoSpaceDN w:val="0"/>
        <w:spacing w:line="240" w:lineRule="auto"/>
        <w:rPr>
          <w:rFonts w:ascii="Times New Roman" w:hAnsi="Times New Roman"/>
        </w:rPr>
      </w:pPr>
      <w:bookmarkStart w:id="6" w:name="_Ref478138102"/>
      <w:r>
        <w:rPr>
          <w:rFonts w:ascii="Times New Roman" w:hAnsi="Times New Roman"/>
        </w:rPr>
        <w:t>R1-1612034, “Conveying symbol index during multi-beam Sync”, Qualcomm Inc., RAN1 #87, Reno USA.</w:t>
      </w:r>
      <w:bookmarkEnd w:id="6"/>
      <w:r w:rsidR="003D008F" w:rsidRPr="003D008F">
        <w:rPr>
          <w:rFonts w:ascii="Times New Roman" w:hAnsi="Times New Roman"/>
        </w:rPr>
        <w:t xml:space="preserve"> </w:t>
      </w:r>
    </w:p>
    <w:p w14:paraId="02AA4AC4" w14:textId="3C38627E" w:rsidR="004317A3" w:rsidRDefault="003D008F" w:rsidP="004317A3">
      <w:pPr>
        <w:pStyle w:val="References"/>
        <w:numPr>
          <w:ilvl w:val="0"/>
          <w:numId w:val="25"/>
        </w:numPr>
        <w:autoSpaceDE w:val="0"/>
        <w:autoSpaceDN w:val="0"/>
        <w:spacing w:line="240" w:lineRule="auto"/>
        <w:rPr>
          <w:rFonts w:ascii="Times New Roman" w:hAnsi="Times New Roman"/>
        </w:rPr>
      </w:pPr>
      <w:bookmarkStart w:id="7" w:name="_Ref478138104"/>
      <w:r>
        <w:rPr>
          <w:rFonts w:ascii="Times New Roman" w:hAnsi="Times New Roman"/>
        </w:rPr>
        <w:t>R1-1</w:t>
      </w:r>
      <w:r w:rsidR="00ED7C75">
        <w:rPr>
          <w:rFonts w:ascii="Times New Roman" w:hAnsi="Times New Roman"/>
        </w:rPr>
        <w:t>705565</w:t>
      </w:r>
      <w:r>
        <w:rPr>
          <w:rFonts w:ascii="Times New Roman" w:hAnsi="Times New Roman"/>
        </w:rPr>
        <w:t>, “</w:t>
      </w:r>
      <w:r w:rsidR="002A1B24" w:rsidRPr="002A1B24">
        <w:rPr>
          <w:rFonts w:ascii="Times New Roman" w:hAnsi="Times New Roman"/>
        </w:rPr>
        <w:t>SS composition and SS time index indication consideration</w:t>
      </w:r>
      <w:r>
        <w:rPr>
          <w:rFonts w:ascii="Times New Roman" w:hAnsi="Times New Roman"/>
        </w:rPr>
        <w:t>”, Qualcomm Inc., RAN1 #8</w:t>
      </w:r>
      <w:r w:rsidR="002A1B24">
        <w:rPr>
          <w:rFonts w:ascii="Times New Roman" w:hAnsi="Times New Roman"/>
        </w:rPr>
        <w:t>8bis</w:t>
      </w:r>
      <w:r>
        <w:rPr>
          <w:rFonts w:ascii="Times New Roman" w:hAnsi="Times New Roman"/>
        </w:rPr>
        <w:t xml:space="preserve">, </w:t>
      </w:r>
      <w:r w:rsidR="002A1B24">
        <w:rPr>
          <w:rFonts w:ascii="Times New Roman" w:hAnsi="Times New Roman"/>
        </w:rPr>
        <w:t>Spokane</w:t>
      </w:r>
      <w:r>
        <w:rPr>
          <w:rFonts w:ascii="Times New Roman" w:hAnsi="Times New Roman"/>
        </w:rPr>
        <w:t xml:space="preserve"> USA.</w:t>
      </w:r>
      <w:bookmarkEnd w:id="7"/>
      <w:r w:rsidR="004317A3" w:rsidRPr="004317A3">
        <w:rPr>
          <w:rFonts w:ascii="Times New Roman" w:hAnsi="Times New Roman"/>
        </w:rPr>
        <w:t xml:space="preserve"> </w:t>
      </w:r>
    </w:p>
    <w:p w14:paraId="5A02E5D8" w14:textId="12E4CFB2" w:rsidR="004317A3" w:rsidRPr="005D4C0F" w:rsidRDefault="004317A3" w:rsidP="004317A3">
      <w:pPr>
        <w:pStyle w:val="References"/>
        <w:numPr>
          <w:ilvl w:val="0"/>
          <w:numId w:val="25"/>
        </w:numPr>
        <w:autoSpaceDE w:val="0"/>
        <w:autoSpaceDN w:val="0"/>
        <w:spacing w:line="240" w:lineRule="auto"/>
        <w:rPr>
          <w:rFonts w:ascii="Times New Roman" w:hAnsi="Times New Roman"/>
        </w:rPr>
      </w:pPr>
      <w:bookmarkStart w:id="8" w:name="_Ref478138772"/>
      <w:r>
        <w:rPr>
          <w:rFonts w:ascii="Times New Roman" w:hAnsi="Times New Roman"/>
        </w:rPr>
        <w:t>R1-</w:t>
      </w:r>
      <w:r w:rsidRPr="004317A3">
        <w:rPr>
          <w:rFonts w:ascii="Times New Roman" w:hAnsi="Times New Roman"/>
        </w:rPr>
        <w:t>1613085</w:t>
      </w:r>
      <w:r>
        <w:rPr>
          <w:rFonts w:ascii="Times New Roman" w:hAnsi="Times New Roman"/>
        </w:rPr>
        <w:t>, “</w:t>
      </w:r>
      <w:r w:rsidRPr="00DD08B5">
        <w:rPr>
          <w:rFonts w:ascii="Times New Roman" w:hAnsi="Times New Roman"/>
        </w:rPr>
        <w:t>Control channel performance</w:t>
      </w:r>
      <w:r>
        <w:rPr>
          <w:rFonts w:ascii="Times New Roman" w:hAnsi="Times New Roman"/>
        </w:rPr>
        <w:t>”, Qualcomm Inc., RAN1 #8</w:t>
      </w:r>
      <w:r w:rsidR="000E5E94">
        <w:rPr>
          <w:rFonts w:ascii="Times New Roman" w:hAnsi="Times New Roman"/>
        </w:rPr>
        <w:t>7</w:t>
      </w:r>
      <w:r>
        <w:rPr>
          <w:rFonts w:ascii="Times New Roman" w:hAnsi="Times New Roman"/>
        </w:rPr>
        <w:t xml:space="preserve">, </w:t>
      </w:r>
      <w:r w:rsidR="000E5E94">
        <w:rPr>
          <w:rFonts w:ascii="Times New Roman" w:hAnsi="Times New Roman"/>
        </w:rPr>
        <w:t>Reno</w:t>
      </w:r>
      <w:r>
        <w:rPr>
          <w:rFonts w:ascii="Times New Roman" w:hAnsi="Times New Roman"/>
        </w:rPr>
        <w:t xml:space="preserve"> USA.</w:t>
      </w:r>
      <w:bookmarkEnd w:id="8"/>
    </w:p>
    <w:p w14:paraId="70AAE053" w14:textId="08495DF9" w:rsidR="004E492E" w:rsidRPr="005D4C0F" w:rsidRDefault="004E492E" w:rsidP="004317A3">
      <w:pPr>
        <w:pStyle w:val="References"/>
        <w:autoSpaceDE w:val="0"/>
        <w:autoSpaceDN w:val="0"/>
        <w:spacing w:line="240" w:lineRule="auto"/>
        <w:ind w:left="360"/>
        <w:rPr>
          <w:rFonts w:ascii="Times New Roman" w:hAnsi="Times New Roman"/>
        </w:rPr>
      </w:pPr>
    </w:p>
    <w:p w14:paraId="3B957B60" w14:textId="77777777" w:rsidR="004E492E" w:rsidRPr="00FD024A" w:rsidRDefault="004E492E" w:rsidP="004E492E">
      <w:pPr>
        <w:pStyle w:val="References"/>
        <w:autoSpaceDE w:val="0"/>
        <w:autoSpaceDN w:val="0"/>
        <w:spacing w:line="240" w:lineRule="auto"/>
        <w:rPr>
          <w:rFonts w:ascii="Times New Roman" w:hAnsi="Times New Roman"/>
        </w:rPr>
      </w:pPr>
    </w:p>
    <w:p w14:paraId="78818627" w14:textId="08D7E3EA" w:rsidR="004B60BE" w:rsidRPr="00956418" w:rsidRDefault="004B60BE" w:rsidP="006C6B9E">
      <w:pPr>
        <w:pStyle w:val="References"/>
        <w:snapToGrid/>
        <w:spacing w:after="80"/>
        <w:jc w:val="left"/>
        <w:rPr>
          <w:rFonts w:ascii="Times New Roman" w:hAnsi="Times New Roman"/>
          <w:sz w:val="20"/>
          <w:lang w:val="en-GB"/>
        </w:rPr>
      </w:pPr>
    </w:p>
    <w:sectPr w:rsidR="004B60BE" w:rsidRPr="00956418"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D1C85" w14:textId="77777777" w:rsidR="00537CE0" w:rsidRDefault="00537CE0">
      <w:r>
        <w:separator/>
      </w:r>
    </w:p>
  </w:endnote>
  <w:endnote w:type="continuationSeparator" w:id="0">
    <w:p w14:paraId="31F59ECB" w14:textId="77777777" w:rsidR="00537CE0" w:rsidRDefault="00537CE0">
      <w:r>
        <w:continuationSeparator/>
      </w:r>
    </w:p>
  </w:endnote>
  <w:endnote w:type="continuationNotice" w:id="1">
    <w:p w14:paraId="556DA41F" w14:textId="77777777" w:rsidR="00537CE0" w:rsidRDefault="00537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402EBF" w:rsidRDefault="00402E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402EBF" w:rsidRDefault="00402E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402EBF" w:rsidRDefault="00402E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50B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0B0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E6934" w14:textId="77777777" w:rsidR="00537CE0" w:rsidRDefault="00537CE0">
      <w:r>
        <w:separator/>
      </w:r>
    </w:p>
  </w:footnote>
  <w:footnote w:type="continuationSeparator" w:id="0">
    <w:p w14:paraId="1E659624" w14:textId="77777777" w:rsidR="00537CE0" w:rsidRDefault="00537CE0">
      <w:r>
        <w:continuationSeparator/>
      </w:r>
    </w:p>
  </w:footnote>
  <w:footnote w:type="continuationNotice" w:id="1">
    <w:p w14:paraId="6B51EE63" w14:textId="77777777" w:rsidR="00537CE0" w:rsidRDefault="00537C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402EBF" w:rsidRDefault="00402E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B733C"/>
    <w:multiLevelType w:val="hybridMultilevel"/>
    <w:tmpl w:val="1908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31D4"/>
    <w:multiLevelType w:val="hybridMultilevel"/>
    <w:tmpl w:val="781E72B8"/>
    <w:lvl w:ilvl="0" w:tplc="17AEE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9D25A8"/>
    <w:multiLevelType w:val="hybridMultilevel"/>
    <w:tmpl w:val="9DDC8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D1C5B"/>
    <w:multiLevelType w:val="hybridMultilevel"/>
    <w:tmpl w:val="26EA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89C3D6A"/>
    <w:multiLevelType w:val="hybridMultilevel"/>
    <w:tmpl w:val="735C008C"/>
    <w:lvl w:ilvl="0" w:tplc="5BF439BC">
      <w:start w:val="1"/>
      <w:numFmt w:val="bullet"/>
      <w:lvlText w:val="•"/>
      <w:lvlJc w:val="left"/>
      <w:pPr>
        <w:tabs>
          <w:tab w:val="num" w:pos="720"/>
        </w:tabs>
        <w:ind w:left="720" w:hanging="360"/>
      </w:pPr>
      <w:rPr>
        <w:rFonts w:ascii="Arial" w:hAnsi="Arial" w:hint="default"/>
      </w:rPr>
    </w:lvl>
    <w:lvl w:ilvl="1" w:tplc="6122F4A4">
      <w:start w:val="63"/>
      <w:numFmt w:val="bullet"/>
      <w:lvlText w:val="−"/>
      <w:lvlJc w:val="left"/>
      <w:pPr>
        <w:tabs>
          <w:tab w:val="num" w:pos="1440"/>
        </w:tabs>
        <w:ind w:left="1440" w:hanging="360"/>
      </w:pPr>
      <w:rPr>
        <w:rFonts w:ascii="Calibre Regular" w:hAnsi="Calibre Regular" w:hint="default"/>
      </w:rPr>
    </w:lvl>
    <w:lvl w:ilvl="2" w:tplc="F7F8A746" w:tentative="1">
      <w:start w:val="1"/>
      <w:numFmt w:val="bullet"/>
      <w:lvlText w:val="•"/>
      <w:lvlJc w:val="left"/>
      <w:pPr>
        <w:tabs>
          <w:tab w:val="num" w:pos="2160"/>
        </w:tabs>
        <w:ind w:left="2160" w:hanging="360"/>
      </w:pPr>
      <w:rPr>
        <w:rFonts w:ascii="Arial" w:hAnsi="Arial" w:hint="default"/>
      </w:rPr>
    </w:lvl>
    <w:lvl w:ilvl="3" w:tplc="A1301F6E" w:tentative="1">
      <w:start w:val="1"/>
      <w:numFmt w:val="bullet"/>
      <w:lvlText w:val="•"/>
      <w:lvlJc w:val="left"/>
      <w:pPr>
        <w:tabs>
          <w:tab w:val="num" w:pos="2880"/>
        </w:tabs>
        <w:ind w:left="2880" w:hanging="360"/>
      </w:pPr>
      <w:rPr>
        <w:rFonts w:ascii="Arial" w:hAnsi="Arial" w:hint="default"/>
      </w:rPr>
    </w:lvl>
    <w:lvl w:ilvl="4" w:tplc="0F9C23B2" w:tentative="1">
      <w:start w:val="1"/>
      <w:numFmt w:val="bullet"/>
      <w:lvlText w:val="•"/>
      <w:lvlJc w:val="left"/>
      <w:pPr>
        <w:tabs>
          <w:tab w:val="num" w:pos="3600"/>
        </w:tabs>
        <w:ind w:left="3600" w:hanging="360"/>
      </w:pPr>
      <w:rPr>
        <w:rFonts w:ascii="Arial" w:hAnsi="Arial" w:hint="default"/>
      </w:rPr>
    </w:lvl>
    <w:lvl w:ilvl="5" w:tplc="EDF69EE0" w:tentative="1">
      <w:start w:val="1"/>
      <w:numFmt w:val="bullet"/>
      <w:lvlText w:val="•"/>
      <w:lvlJc w:val="left"/>
      <w:pPr>
        <w:tabs>
          <w:tab w:val="num" w:pos="4320"/>
        </w:tabs>
        <w:ind w:left="4320" w:hanging="360"/>
      </w:pPr>
      <w:rPr>
        <w:rFonts w:ascii="Arial" w:hAnsi="Arial" w:hint="default"/>
      </w:rPr>
    </w:lvl>
    <w:lvl w:ilvl="6" w:tplc="66100900" w:tentative="1">
      <w:start w:val="1"/>
      <w:numFmt w:val="bullet"/>
      <w:lvlText w:val="•"/>
      <w:lvlJc w:val="left"/>
      <w:pPr>
        <w:tabs>
          <w:tab w:val="num" w:pos="5040"/>
        </w:tabs>
        <w:ind w:left="5040" w:hanging="360"/>
      </w:pPr>
      <w:rPr>
        <w:rFonts w:ascii="Arial" w:hAnsi="Arial" w:hint="default"/>
      </w:rPr>
    </w:lvl>
    <w:lvl w:ilvl="7" w:tplc="A8569E7A" w:tentative="1">
      <w:start w:val="1"/>
      <w:numFmt w:val="bullet"/>
      <w:lvlText w:val="•"/>
      <w:lvlJc w:val="left"/>
      <w:pPr>
        <w:tabs>
          <w:tab w:val="num" w:pos="5760"/>
        </w:tabs>
        <w:ind w:left="5760" w:hanging="360"/>
      </w:pPr>
      <w:rPr>
        <w:rFonts w:ascii="Arial" w:hAnsi="Arial" w:hint="default"/>
      </w:rPr>
    </w:lvl>
    <w:lvl w:ilvl="8" w:tplc="5A2EF8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35F24"/>
    <w:multiLevelType w:val="hybridMultilevel"/>
    <w:tmpl w:val="7576BC1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1">
      <w:start w:val="1"/>
      <w:numFmt w:val="bullet"/>
      <w:lvlText w:val=""/>
      <w:lvlJc w:val="left"/>
      <w:pPr>
        <w:tabs>
          <w:tab w:val="num" w:pos="1800"/>
        </w:tabs>
        <w:ind w:left="1800" w:hanging="360"/>
      </w:pPr>
      <w:rPr>
        <w:rFonts w:ascii="Symbol" w:hAnsi="Symbol"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B13AB5"/>
    <w:multiLevelType w:val="hybridMultilevel"/>
    <w:tmpl w:val="016C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4646"/>
    <w:multiLevelType w:val="hybridMultilevel"/>
    <w:tmpl w:val="58A4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3"/>
  </w:num>
  <w:num w:numId="3">
    <w:abstractNumId w:val="19"/>
  </w:num>
  <w:num w:numId="4">
    <w:abstractNumId w:val="2"/>
  </w:num>
  <w:num w:numId="5">
    <w:abstractNumId w:val="10"/>
  </w:num>
  <w:num w:numId="6">
    <w:abstractNumId w:val="28"/>
  </w:num>
  <w:num w:numId="7">
    <w:abstractNumId w:val="14"/>
  </w:num>
  <w:num w:numId="8">
    <w:abstractNumId w:val="16"/>
  </w:num>
  <w:num w:numId="9">
    <w:abstractNumId w:val="13"/>
  </w:num>
  <w:num w:numId="10">
    <w:abstractNumId w:val="23"/>
  </w:num>
  <w:num w:numId="11">
    <w:abstractNumId w:val="1"/>
  </w:num>
  <w:num w:numId="12">
    <w:abstractNumId w:val="6"/>
  </w:num>
  <w:num w:numId="13">
    <w:abstractNumId w:val="0"/>
  </w:num>
  <w:num w:numId="14">
    <w:abstractNumId w:val="18"/>
    <w:lvlOverride w:ilvl="0">
      <w:startOverride w:val="1"/>
    </w:lvlOverride>
  </w:num>
  <w:num w:numId="15">
    <w:abstractNumId w:val="27"/>
    <w:lvlOverride w:ilvl="0">
      <w:startOverride w:val="1"/>
    </w:lvlOverride>
  </w:num>
  <w:num w:numId="16">
    <w:abstractNumId w:val="4"/>
  </w:num>
  <w:num w:numId="17">
    <w:abstractNumId w:val="20"/>
  </w:num>
  <w:num w:numId="18">
    <w:abstractNumId w:val="29"/>
  </w:num>
  <w:num w:numId="19">
    <w:abstractNumId w:val="17"/>
  </w:num>
  <w:num w:numId="20">
    <w:abstractNumId w:val="26"/>
  </w:num>
  <w:num w:numId="21">
    <w:abstractNumId w:val="12"/>
  </w:num>
  <w:num w:numId="22">
    <w:abstractNumId w:val="15"/>
  </w:num>
  <w:num w:numId="23">
    <w:abstractNumId w:val="22"/>
  </w:num>
  <w:num w:numId="24">
    <w:abstractNumId w:val="5"/>
  </w:num>
  <w:num w:numId="25">
    <w:abstractNumId w:val="18"/>
  </w:num>
  <w:num w:numId="26">
    <w:abstractNumId w:val="9"/>
  </w:num>
  <w:num w:numId="27">
    <w:abstractNumId w:val="24"/>
  </w:num>
  <w:num w:numId="28">
    <w:abstractNumId w:val="8"/>
  </w:num>
  <w:num w:numId="29">
    <w:abstractNumId w:val="21"/>
  </w:num>
  <w:num w:numId="30">
    <w:abstractNumId w:val="7"/>
  </w:num>
  <w:num w:numId="31">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CCB"/>
    <w:rsid w:val="000114B4"/>
    <w:rsid w:val="00011F5D"/>
    <w:rsid w:val="000129BA"/>
    <w:rsid w:val="000136A3"/>
    <w:rsid w:val="00014DD7"/>
    <w:rsid w:val="00014E0B"/>
    <w:rsid w:val="00015530"/>
    <w:rsid w:val="00015962"/>
    <w:rsid w:val="000162B2"/>
    <w:rsid w:val="000164DE"/>
    <w:rsid w:val="00016B4C"/>
    <w:rsid w:val="00017013"/>
    <w:rsid w:val="00017047"/>
    <w:rsid w:val="000172E3"/>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1D67"/>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5EB"/>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5E94"/>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852"/>
    <w:rsid w:val="00111AD9"/>
    <w:rsid w:val="00112B8F"/>
    <w:rsid w:val="00112CFB"/>
    <w:rsid w:val="001134DA"/>
    <w:rsid w:val="001140FA"/>
    <w:rsid w:val="001146A3"/>
    <w:rsid w:val="00114B8D"/>
    <w:rsid w:val="00114EA7"/>
    <w:rsid w:val="00115B96"/>
    <w:rsid w:val="0011671C"/>
    <w:rsid w:val="00117957"/>
    <w:rsid w:val="00117C13"/>
    <w:rsid w:val="00120545"/>
    <w:rsid w:val="00121412"/>
    <w:rsid w:val="00121833"/>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6056"/>
    <w:rsid w:val="00166868"/>
    <w:rsid w:val="001669CF"/>
    <w:rsid w:val="00167857"/>
    <w:rsid w:val="00167C50"/>
    <w:rsid w:val="00172414"/>
    <w:rsid w:val="00172C20"/>
    <w:rsid w:val="001733C6"/>
    <w:rsid w:val="001746E6"/>
    <w:rsid w:val="00174883"/>
    <w:rsid w:val="00174DDB"/>
    <w:rsid w:val="001752EC"/>
    <w:rsid w:val="00175414"/>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55F"/>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523"/>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592"/>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2A9"/>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3E6D"/>
    <w:rsid w:val="00234482"/>
    <w:rsid w:val="00234E05"/>
    <w:rsid w:val="002352C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B94"/>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366"/>
    <w:rsid w:val="002721F6"/>
    <w:rsid w:val="002727C8"/>
    <w:rsid w:val="00272FEB"/>
    <w:rsid w:val="0027311A"/>
    <w:rsid w:val="002736A6"/>
    <w:rsid w:val="002738C9"/>
    <w:rsid w:val="00273A82"/>
    <w:rsid w:val="00273B2D"/>
    <w:rsid w:val="00273CFB"/>
    <w:rsid w:val="002756D5"/>
    <w:rsid w:val="0027598E"/>
    <w:rsid w:val="00275AD2"/>
    <w:rsid w:val="00276AA1"/>
    <w:rsid w:val="0027723B"/>
    <w:rsid w:val="0027731D"/>
    <w:rsid w:val="00277E66"/>
    <w:rsid w:val="00277EC3"/>
    <w:rsid w:val="00277F86"/>
    <w:rsid w:val="002801E2"/>
    <w:rsid w:val="00282055"/>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5ED9"/>
    <w:rsid w:val="0029624F"/>
    <w:rsid w:val="0029639B"/>
    <w:rsid w:val="00296FD8"/>
    <w:rsid w:val="0029743A"/>
    <w:rsid w:val="00297DBE"/>
    <w:rsid w:val="002A0724"/>
    <w:rsid w:val="002A07C1"/>
    <w:rsid w:val="002A1B24"/>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45F"/>
    <w:rsid w:val="002C0779"/>
    <w:rsid w:val="002C138C"/>
    <w:rsid w:val="002C203A"/>
    <w:rsid w:val="002C20B7"/>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3C51"/>
    <w:rsid w:val="002D4746"/>
    <w:rsid w:val="002D47AE"/>
    <w:rsid w:val="002D4E37"/>
    <w:rsid w:val="002D51A3"/>
    <w:rsid w:val="002D52E0"/>
    <w:rsid w:val="002D531E"/>
    <w:rsid w:val="002D5A7E"/>
    <w:rsid w:val="002D68CF"/>
    <w:rsid w:val="002E042F"/>
    <w:rsid w:val="002E16BC"/>
    <w:rsid w:val="002E1946"/>
    <w:rsid w:val="002E1A18"/>
    <w:rsid w:val="002E1C5C"/>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462C"/>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B27"/>
    <w:rsid w:val="00307D3F"/>
    <w:rsid w:val="0031013F"/>
    <w:rsid w:val="003105E4"/>
    <w:rsid w:val="00311941"/>
    <w:rsid w:val="003123EA"/>
    <w:rsid w:val="003125FA"/>
    <w:rsid w:val="00313C4F"/>
    <w:rsid w:val="00315808"/>
    <w:rsid w:val="003158FE"/>
    <w:rsid w:val="003160EC"/>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AC8"/>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1D9F"/>
    <w:rsid w:val="00372A6B"/>
    <w:rsid w:val="0037377E"/>
    <w:rsid w:val="00373FEC"/>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4F2"/>
    <w:rsid w:val="00393B78"/>
    <w:rsid w:val="00393B7F"/>
    <w:rsid w:val="003942A4"/>
    <w:rsid w:val="00394E4F"/>
    <w:rsid w:val="003959A9"/>
    <w:rsid w:val="0039661D"/>
    <w:rsid w:val="0039665F"/>
    <w:rsid w:val="00396D81"/>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6DA"/>
    <w:rsid w:val="003B6C82"/>
    <w:rsid w:val="003B6DD9"/>
    <w:rsid w:val="003B6FCB"/>
    <w:rsid w:val="003C00D9"/>
    <w:rsid w:val="003C0FB1"/>
    <w:rsid w:val="003C1734"/>
    <w:rsid w:val="003C1C20"/>
    <w:rsid w:val="003C1F75"/>
    <w:rsid w:val="003C23C3"/>
    <w:rsid w:val="003C28E6"/>
    <w:rsid w:val="003C411E"/>
    <w:rsid w:val="003C4F25"/>
    <w:rsid w:val="003C5113"/>
    <w:rsid w:val="003C5FE4"/>
    <w:rsid w:val="003C688E"/>
    <w:rsid w:val="003C6B2B"/>
    <w:rsid w:val="003C6E9F"/>
    <w:rsid w:val="003D008F"/>
    <w:rsid w:val="003D0246"/>
    <w:rsid w:val="003D09DA"/>
    <w:rsid w:val="003D0A1E"/>
    <w:rsid w:val="003D12AF"/>
    <w:rsid w:val="003D2339"/>
    <w:rsid w:val="003D26AA"/>
    <w:rsid w:val="003D3C11"/>
    <w:rsid w:val="003D4350"/>
    <w:rsid w:val="003D4409"/>
    <w:rsid w:val="003D4A54"/>
    <w:rsid w:val="003D4E8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E6C7A"/>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2EBF"/>
    <w:rsid w:val="0040303D"/>
    <w:rsid w:val="0040379F"/>
    <w:rsid w:val="00403883"/>
    <w:rsid w:val="00403B27"/>
    <w:rsid w:val="00403F25"/>
    <w:rsid w:val="004041B2"/>
    <w:rsid w:val="0040474E"/>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7A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379ED"/>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3E8C"/>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4D7"/>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60"/>
    <w:rsid w:val="004A0C8F"/>
    <w:rsid w:val="004A15A9"/>
    <w:rsid w:val="004A201F"/>
    <w:rsid w:val="004A3394"/>
    <w:rsid w:val="004A366E"/>
    <w:rsid w:val="004A3CFF"/>
    <w:rsid w:val="004A4D38"/>
    <w:rsid w:val="004A4E7E"/>
    <w:rsid w:val="004A5312"/>
    <w:rsid w:val="004A556D"/>
    <w:rsid w:val="004A57FC"/>
    <w:rsid w:val="004A5A64"/>
    <w:rsid w:val="004A5E0C"/>
    <w:rsid w:val="004A6F8B"/>
    <w:rsid w:val="004A705C"/>
    <w:rsid w:val="004A710E"/>
    <w:rsid w:val="004A71A7"/>
    <w:rsid w:val="004A7F50"/>
    <w:rsid w:val="004A7FB0"/>
    <w:rsid w:val="004B0372"/>
    <w:rsid w:val="004B038D"/>
    <w:rsid w:val="004B0578"/>
    <w:rsid w:val="004B0FC0"/>
    <w:rsid w:val="004B1313"/>
    <w:rsid w:val="004B1C42"/>
    <w:rsid w:val="004B2B31"/>
    <w:rsid w:val="004B2E45"/>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492E"/>
    <w:rsid w:val="004E53AE"/>
    <w:rsid w:val="004E5A69"/>
    <w:rsid w:val="004E5C61"/>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0AE2"/>
    <w:rsid w:val="00521D65"/>
    <w:rsid w:val="00522592"/>
    <w:rsid w:val="00522E36"/>
    <w:rsid w:val="00523B71"/>
    <w:rsid w:val="00523F32"/>
    <w:rsid w:val="0052404F"/>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37CE0"/>
    <w:rsid w:val="005408FD"/>
    <w:rsid w:val="005417A0"/>
    <w:rsid w:val="005422E8"/>
    <w:rsid w:val="005426C4"/>
    <w:rsid w:val="00543342"/>
    <w:rsid w:val="00543A66"/>
    <w:rsid w:val="00544639"/>
    <w:rsid w:val="00544D2E"/>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45BF"/>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1C0"/>
    <w:rsid w:val="00587570"/>
    <w:rsid w:val="0058764D"/>
    <w:rsid w:val="005877A3"/>
    <w:rsid w:val="00590C9A"/>
    <w:rsid w:val="00590F03"/>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1864"/>
    <w:rsid w:val="005A2229"/>
    <w:rsid w:val="005A2832"/>
    <w:rsid w:val="005A2EE7"/>
    <w:rsid w:val="005A320D"/>
    <w:rsid w:val="005A3468"/>
    <w:rsid w:val="005A35EA"/>
    <w:rsid w:val="005A36E3"/>
    <w:rsid w:val="005A4A24"/>
    <w:rsid w:val="005A4A64"/>
    <w:rsid w:val="005A50FE"/>
    <w:rsid w:val="005A59CF"/>
    <w:rsid w:val="005A6CB4"/>
    <w:rsid w:val="005A7ECD"/>
    <w:rsid w:val="005A7F72"/>
    <w:rsid w:val="005B097C"/>
    <w:rsid w:val="005B1CC4"/>
    <w:rsid w:val="005B1D3E"/>
    <w:rsid w:val="005B2EB8"/>
    <w:rsid w:val="005B33A1"/>
    <w:rsid w:val="005B5251"/>
    <w:rsid w:val="005B5288"/>
    <w:rsid w:val="005B54FE"/>
    <w:rsid w:val="005B5A55"/>
    <w:rsid w:val="005B5F56"/>
    <w:rsid w:val="005B67F6"/>
    <w:rsid w:val="005B7D8A"/>
    <w:rsid w:val="005C0904"/>
    <w:rsid w:val="005C09B8"/>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4C0F"/>
    <w:rsid w:val="005D5B0E"/>
    <w:rsid w:val="005D5E46"/>
    <w:rsid w:val="005D64A5"/>
    <w:rsid w:val="005D680B"/>
    <w:rsid w:val="005D6B30"/>
    <w:rsid w:val="005D7AA9"/>
    <w:rsid w:val="005E0010"/>
    <w:rsid w:val="005E06FF"/>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A31"/>
    <w:rsid w:val="005F3F7F"/>
    <w:rsid w:val="005F422A"/>
    <w:rsid w:val="005F4950"/>
    <w:rsid w:val="005F4AC6"/>
    <w:rsid w:val="005F55AA"/>
    <w:rsid w:val="005F55CC"/>
    <w:rsid w:val="005F55E3"/>
    <w:rsid w:val="005F5B30"/>
    <w:rsid w:val="005F5B83"/>
    <w:rsid w:val="005F60C4"/>
    <w:rsid w:val="005F6365"/>
    <w:rsid w:val="005F660A"/>
    <w:rsid w:val="005F6697"/>
    <w:rsid w:val="005F730B"/>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0FA7"/>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C15"/>
    <w:rsid w:val="00665CCE"/>
    <w:rsid w:val="00665F1A"/>
    <w:rsid w:val="00666471"/>
    <w:rsid w:val="00666653"/>
    <w:rsid w:val="0066797B"/>
    <w:rsid w:val="00667A27"/>
    <w:rsid w:val="00667D16"/>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157"/>
    <w:rsid w:val="0068226B"/>
    <w:rsid w:val="00682ED3"/>
    <w:rsid w:val="0068370B"/>
    <w:rsid w:val="00684BDE"/>
    <w:rsid w:val="00684FBD"/>
    <w:rsid w:val="00685535"/>
    <w:rsid w:val="00685D3B"/>
    <w:rsid w:val="00687817"/>
    <w:rsid w:val="0069008A"/>
    <w:rsid w:val="00690881"/>
    <w:rsid w:val="00692799"/>
    <w:rsid w:val="00692A0D"/>
    <w:rsid w:val="00693077"/>
    <w:rsid w:val="00693113"/>
    <w:rsid w:val="00693295"/>
    <w:rsid w:val="006936BD"/>
    <w:rsid w:val="0069447C"/>
    <w:rsid w:val="00697706"/>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106"/>
    <w:rsid w:val="006A636A"/>
    <w:rsid w:val="006A6B69"/>
    <w:rsid w:val="006A6F85"/>
    <w:rsid w:val="006B1938"/>
    <w:rsid w:val="006B19B2"/>
    <w:rsid w:val="006B1DA2"/>
    <w:rsid w:val="006B1F5F"/>
    <w:rsid w:val="006B2064"/>
    <w:rsid w:val="006B2467"/>
    <w:rsid w:val="006B3AD6"/>
    <w:rsid w:val="006B4125"/>
    <w:rsid w:val="006B5801"/>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B9E"/>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4598"/>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038"/>
    <w:rsid w:val="0071649C"/>
    <w:rsid w:val="007167B9"/>
    <w:rsid w:val="00717267"/>
    <w:rsid w:val="007178EE"/>
    <w:rsid w:val="00717C8F"/>
    <w:rsid w:val="00717CA5"/>
    <w:rsid w:val="00720484"/>
    <w:rsid w:val="007214AF"/>
    <w:rsid w:val="00721E1D"/>
    <w:rsid w:val="00722752"/>
    <w:rsid w:val="00722CD9"/>
    <w:rsid w:val="00723F46"/>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42B"/>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3E57"/>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C6D"/>
    <w:rsid w:val="007F3FB0"/>
    <w:rsid w:val="007F4981"/>
    <w:rsid w:val="007F49CD"/>
    <w:rsid w:val="007F4E99"/>
    <w:rsid w:val="007F513A"/>
    <w:rsid w:val="007F5D4A"/>
    <w:rsid w:val="007F6562"/>
    <w:rsid w:val="007F65F2"/>
    <w:rsid w:val="007F7864"/>
    <w:rsid w:val="00800184"/>
    <w:rsid w:val="00800EDD"/>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B02"/>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0A3"/>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4722"/>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2952"/>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200"/>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63B"/>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FE3"/>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37C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2FF1"/>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236"/>
    <w:rsid w:val="0097579F"/>
    <w:rsid w:val="00975CBD"/>
    <w:rsid w:val="0097672C"/>
    <w:rsid w:val="009769BA"/>
    <w:rsid w:val="009773CE"/>
    <w:rsid w:val="0097780F"/>
    <w:rsid w:val="009778AB"/>
    <w:rsid w:val="00977B69"/>
    <w:rsid w:val="00980911"/>
    <w:rsid w:val="00981A14"/>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3D46"/>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6F50"/>
    <w:rsid w:val="00A37165"/>
    <w:rsid w:val="00A402CC"/>
    <w:rsid w:val="00A42777"/>
    <w:rsid w:val="00A4329C"/>
    <w:rsid w:val="00A4339C"/>
    <w:rsid w:val="00A436C2"/>
    <w:rsid w:val="00A449D2"/>
    <w:rsid w:val="00A44E2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6C9C"/>
    <w:rsid w:val="00A87027"/>
    <w:rsid w:val="00A904C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6D5"/>
    <w:rsid w:val="00AB78AC"/>
    <w:rsid w:val="00AC0F0B"/>
    <w:rsid w:val="00AC1802"/>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255"/>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AF670C"/>
    <w:rsid w:val="00AF6C39"/>
    <w:rsid w:val="00B00306"/>
    <w:rsid w:val="00B00A5B"/>
    <w:rsid w:val="00B010D3"/>
    <w:rsid w:val="00B013A7"/>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C67"/>
    <w:rsid w:val="00B07EDA"/>
    <w:rsid w:val="00B11AC8"/>
    <w:rsid w:val="00B11C22"/>
    <w:rsid w:val="00B11E9A"/>
    <w:rsid w:val="00B13818"/>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2A3"/>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CEC"/>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8758D"/>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28C0"/>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31CB"/>
    <w:rsid w:val="00BF4B69"/>
    <w:rsid w:val="00BF51F0"/>
    <w:rsid w:val="00BF60E3"/>
    <w:rsid w:val="00BF67D2"/>
    <w:rsid w:val="00BF70A1"/>
    <w:rsid w:val="00BF7D43"/>
    <w:rsid w:val="00BF7DCF"/>
    <w:rsid w:val="00C00B95"/>
    <w:rsid w:val="00C00D06"/>
    <w:rsid w:val="00C00D60"/>
    <w:rsid w:val="00C013A3"/>
    <w:rsid w:val="00C01B4D"/>
    <w:rsid w:val="00C02749"/>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ADF"/>
    <w:rsid w:val="00C13C8A"/>
    <w:rsid w:val="00C14066"/>
    <w:rsid w:val="00C147E5"/>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0FF4"/>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4E4"/>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CE1"/>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2703"/>
    <w:rsid w:val="00CD305F"/>
    <w:rsid w:val="00CD309B"/>
    <w:rsid w:val="00CD3122"/>
    <w:rsid w:val="00CD3696"/>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730"/>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198F"/>
    <w:rsid w:val="00D12BDB"/>
    <w:rsid w:val="00D13880"/>
    <w:rsid w:val="00D14204"/>
    <w:rsid w:val="00D14F37"/>
    <w:rsid w:val="00D1624D"/>
    <w:rsid w:val="00D164BF"/>
    <w:rsid w:val="00D16A3F"/>
    <w:rsid w:val="00D17550"/>
    <w:rsid w:val="00D17FC3"/>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2D3"/>
    <w:rsid w:val="00D44424"/>
    <w:rsid w:val="00D44A5C"/>
    <w:rsid w:val="00D44B18"/>
    <w:rsid w:val="00D45A3B"/>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D47"/>
    <w:rsid w:val="00D621D2"/>
    <w:rsid w:val="00D6278F"/>
    <w:rsid w:val="00D62949"/>
    <w:rsid w:val="00D629D9"/>
    <w:rsid w:val="00D62B31"/>
    <w:rsid w:val="00D62D71"/>
    <w:rsid w:val="00D63D24"/>
    <w:rsid w:val="00D6415C"/>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19C9"/>
    <w:rsid w:val="00D81B8B"/>
    <w:rsid w:val="00D820F3"/>
    <w:rsid w:val="00D822CA"/>
    <w:rsid w:val="00D84268"/>
    <w:rsid w:val="00D84515"/>
    <w:rsid w:val="00D84824"/>
    <w:rsid w:val="00D84F73"/>
    <w:rsid w:val="00D85418"/>
    <w:rsid w:val="00D85B61"/>
    <w:rsid w:val="00D85B89"/>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08B5"/>
    <w:rsid w:val="00DD1521"/>
    <w:rsid w:val="00DD1C2F"/>
    <w:rsid w:val="00DD1ED7"/>
    <w:rsid w:val="00DD22DD"/>
    <w:rsid w:val="00DD242B"/>
    <w:rsid w:val="00DD2C54"/>
    <w:rsid w:val="00DD3430"/>
    <w:rsid w:val="00DD35A0"/>
    <w:rsid w:val="00DD6396"/>
    <w:rsid w:val="00DD694F"/>
    <w:rsid w:val="00DD6C70"/>
    <w:rsid w:val="00DD6E8E"/>
    <w:rsid w:val="00DD70C8"/>
    <w:rsid w:val="00DD7F36"/>
    <w:rsid w:val="00DE0C03"/>
    <w:rsid w:val="00DE21CF"/>
    <w:rsid w:val="00DE273A"/>
    <w:rsid w:val="00DE3E7C"/>
    <w:rsid w:val="00DE4664"/>
    <w:rsid w:val="00DE5335"/>
    <w:rsid w:val="00DF02EC"/>
    <w:rsid w:val="00DF1249"/>
    <w:rsid w:val="00DF24B9"/>
    <w:rsid w:val="00DF2DA0"/>
    <w:rsid w:val="00DF32AF"/>
    <w:rsid w:val="00DF3400"/>
    <w:rsid w:val="00DF3E4D"/>
    <w:rsid w:val="00DF42F3"/>
    <w:rsid w:val="00DF46CF"/>
    <w:rsid w:val="00DF4D70"/>
    <w:rsid w:val="00DF4F19"/>
    <w:rsid w:val="00DF5270"/>
    <w:rsid w:val="00DF5374"/>
    <w:rsid w:val="00DF5D97"/>
    <w:rsid w:val="00DF63D5"/>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0026"/>
    <w:rsid w:val="00E42CC0"/>
    <w:rsid w:val="00E42FB4"/>
    <w:rsid w:val="00E44060"/>
    <w:rsid w:val="00E441CF"/>
    <w:rsid w:val="00E4455B"/>
    <w:rsid w:val="00E446BF"/>
    <w:rsid w:val="00E44ECD"/>
    <w:rsid w:val="00E45136"/>
    <w:rsid w:val="00E452D0"/>
    <w:rsid w:val="00E45A9D"/>
    <w:rsid w:val="00E45B6C"/>
    <w:rsid w:val="00E45DC1"/>
    <w:rsid w:val="00E460A1"/>
    <w:rsid w:val="00E467AB"/>
    <w:rsid w:val="00E46CED"/>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1BA"/>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5FE2"/>
    <w:rsid w:val="00E86072"/>
    <w:rsid w:val="00E86752"/>
    <w:rsid w:val="00E86A32"/>
    <w:rsid w:val="00E86D0D"/>
    <w:rsid w:val="00E873F1"/>
    <w:rsid w:val="00E87AE6"/>
    <w:rsid w:val="00E904A1"/>
    <w:rsid w:val="00E90FE7"/>
    <w:rsid w:val="00E91B32"/>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D7C75"/>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7E2"/>
    <w:rsid w:val="00EF3A4A"/>
    <w:rsid w:val="00EF3B82"/>
    <w:rsid w:val="00EF3D43"/>
    <w:rsid w:val="00EF493B"/>
    <w:rsid w:val="00EF4F32"/>
    <w:rsid w:val="00EF597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6B1"/>
    <w:rsid w:val="00F04CF6"/>
    <w:rsid w:val="00F04ED5"/>
    <w:rsid w:val="00F05BA0"/>
    <w:rsid w:val="00F05EED"/>
    <w:rsid w:val="00F062B0"/>
    <w:rsid w:val="00F06F02"/>
    <w:rsid w:val="00F077C0"/>
    <w:rsid w:val="00F0783A"/>
    <w:rsid w:val="00F07A93"/>
    <w:rsid w:val="00F07C4E"/>
    <w:rsid w:val="00F11FC9"/>
    <w:rsid w:val="00F122A6"/>
    <w:rsid w:val="00F13261"/>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852"/>
    <w:rsid w:val="00F24A57"/>
    <w:rsid w:val="00F24F4D"/>
    <w:rsid w:val="00F25139"/>
    <w:rsid w:val="00F2617C"/>
    <w:rsid w:val="00F2643A"/>
    <w:rsid w:val="00F2699C"/>
    <w:rsid w:val="00F269CD"/>
    <w:rsid w:val="00F26CE7"/>
    <w:rsid w:val="00F26D83"/>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5D03"/>
    <w:rsid w:val="00F86193"/>
    <w:rsid w:val="00F869AA"/>
    <w:rsid w:val="00F86C4D"/>
    <w:rsid w:val="00F87A8C"/>
    <w:rsid w:val="00F90391"/>
    <w:rsid w:val="00F9046C"/>
    <w:rsid w:val="00F90C17"/>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0E"/>
    <w:rsid w:val="00FB27DF"/>
    <w:rsid w:val="00FB2E86"/>
    <w:rsid w:val="00FB2F94"/>
    <w:rsid w:val="00FB35B8"/>
    <w:rsid w:val="00FB3CD6"/>
    <w:rsid w:val="00FB43D4"/>
    <w:rsid w:val="00FB46A4"/>
    <w:rsid w:val="00FB52FD"/>
    <w:rsid w:val="00FB54F5"/>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4E08"/>
    <w:rsid w:val="00FC553E"/>
    <w:rsid w:val="00FC65A0"/>
    <w:rsid w:val="00FD024A"/>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DA5"/>
    <w:rsid w:val="00FE460F"/>
    <w:rsid w:val="00FE4930"/>
    <w:rsid w:val="00FE4E61"/>
    <w:rsid w:val="00FE54A0"/>
    <w:rsid w:val="00FE6FE5"/>
    <w:rsid w:val="00FE74FC"/>
    <w:rsid w:val="00FE761D"/>
    <w:rsid w:val="00FE76FA"/>
    <w:rsid w:val="00FE7A0A"/>
    <w:rsid w:val="00FE7A4E"/>
    <w:rsid w:val="00FE7B7C"/>
    <w:rsid w:val="00FF01C5"/>
    <w:rsid w:val="00FF0295"/>
    <w:rsid w:val="00FF07F7"/>
    <w:rsid w:val="00FF1716"/>
    <w:rsid w:val="00FF2A88"/>
    <w:rsid w:val="00FF4366"/>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CommentTextChar">
    <w:name w:val="Comment Text Char"/>
    <w:link w:val="CommentText"/>
    <w:semiHidden/>
    <w:rsid w:val="002E1C5C"/>
    <w:rPr>
      <w:rFonts w:ascii="Times New Roman" w:hAnsi="Times New Roman"/>
    </w:rPr>
  </w:style>
  <w:style w:type="character" w:styleId="PlaceholderText">
    <w:name w:val="Placeholder Text"/>
    <w:basedOn w:val="DefaultParagraphFont"/>
    <w:uiPriority w:val="99"/>
    <w:semiHidden/>
    <w:rsid w:val="007F3C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2591767">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3528672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HR33RHYHUWRF-4-2260</_dlc_DocId>
    <_dlc_DocIdUrl xmlns="c06861ca-3f08-4d07-bff7-bb15bac121f4">
      <Url>https://projects.qualcomm.com/sites/pentari/_layouts/15/DocIdRedir.aspx?ID=HR33RHYHUWRF-4-2260</Url>
      <Description>HR33RHYHUWRF-4-2260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2.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3.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F35D60-0880-47D2-B539-A72DB45A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Yang, Yang</cp:lastModifiedBy>
  <cp:revision>12</cp:revision>
  <cp:lastPrinted>2010-10-04T23:31:00Z</cp:lastPrinted>
  <dcterms:created xsi:type="dcterms:W3CDTF">2017-03-20T21:46:00Z</dcterms:created>
  <dcterms:modified xsi:type="dcterms:W3CDTF">2017-03-25T00:24:00Z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1653944526</vt:i4>
  </property>
  <property fmtid="{D5CDD505-2E9C-101B-9397-08002B2CF9AE}" pid="3" name="_NewReviewCycle">
    <vt:lpwstr/>
  </property>
  <property fmtid="{D5CDD505-2E9C-101B-9397-08002B2CF9AE}" pid="4" name="_EmailSubject">
    <vt:lpwstr>PBCH channel coding</vt:lpwstr>
  </property>
  <property fmtid="{D5CDD505-2E9C-101B-9397-08002B2CF9AE}" pid="5" name="_AuthorEmail">
    <vt:lpwstr>yyangy@qti.qualcomm.com</vt:lpwstr>
  </property>
  <property fmtid="{D5CDD505-2E9C-101B-9397-08002B2CF9AE}" pid="6" name="_AuthorEmailDisplayName">
    <vt:lpwstr>Yang, Yang</vt:lpwstr>
  </property>
  <property fmtid="{D5CDD505-2E9C-101B-9397-08002B2CF9AE}" pid="7" name="_PreviousAdHocReviewCycleID">
    <vt:i4>-359525663</vt:i4>
  </property>
  <property fmtid="{D5CDD505-2E9C-101B-9397-08002B2CF9AE}" pid="8" name="_dlc_DocId">
    <vt:lpwstr>HR33RHYHUWRF-13-110422</vt:lpwstr>
  </property>
  <property fmtid="{D5CDD505-2E9C-101B-9397-08002B2CF9AE}" pid="9" name="_dlc_DocIdItemGuid">
    <vt:lpwstr>67989ae5-ca36-4e2b-b0bd-0dded9d4db1b</vt:lpwstr>
  </property>
  <property fmtid="{D5CDD505-2E9C-101B-9397-08002B2CF9AE}" pid="10" name="_dlc_DocIdUrl">
    <vt:lpwstr>https://projects.qualcomm.com/sites/pentari/_layouts/15/DocIdRedir.aspx?ID=HR33RHYHUWRF-13-110422, HR33RHYHUWRF-13-110422</vt:lpwstr>
  </property>
  <property fmtid="{D5CDD505-2E9C-101B-9397-08002B2CF9AE}" pid="11" name="ContentTypeId">
    <vt:lpwstr>0x010100BC29BFD66497B943AA3B102F0C7B1355</vt:lpwstr>
  </property>
  <property fmtid="{D5CDD505-2E9C-101B-9397-08002B2CF9AE}" pid="12" name="_ReviewingToolsShownOnce">
    <vt:lpwstr/>
  </property>
</Properties>
</file>